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8875" w14:textId="1522095C" w:rsidR="001E3E75" w:rsidRDefault="00396A67" w:rsidP="00712994">
      <w:pPr>
        <w:spacing w:after="0" w:line="240" w:lineRule="auto"/>
        <w:rPr>
          <w:b/>
          <w:bCs/>
          <w:sz w:val="28"/>
          <w:szCs w:val="28"/>
        </w:rPr>
      </w:pPr>
      <w:r w:rsidRPr="001E0FD6">
        <w:rPr>
          <w:b/>
          <w:bCs/>
          <w:sz w:val="28"/>
          <w:szCs w:val="28"/>
        </w:rPr>
        <w:t>Australia’s Agricultural Identity. An Aboriginal Yarn.</w:t>
      </w:r>
      <w:r w:rsidR="0070563A">
        <w:rPr>
          <w:b/>
          <w:bCs/>
          <w:sz w:val="28"/>
          <w:szCs w:val="28"/>
        </w:rPr>
        <w:t xml:space="preserve"> A review.</w:t>
      </w:r>
    </w:p>
    <w:p w14:paraId="5D5F5855" w14:textId="77DE331C" w:rsidR="008F168A" w:rsidRPr="00736254" w:rsidRDefault="008F168A" w:rsidP="00712994">
      <w:pPr>
        <w:spacing w:after="0" w:line="240" w:lineRule="auto"/>
        <w:rPr>
          <w:sz w:val="28"/>
          <w:szCs w:val="28"/>
        </w:rPr>
      </w:pPr>
      <w:r w:rsidRPr="00736254">
        <w:rPr>
          <w:sz w:val="28"/>
          <w:szCs w:val="28"/>
        </w:rPr>
        <w:t>July</w:t>
      </w:r>
      <w:r w:rsidR="00736254" w:rsidRPr="00736254">
        <w:rPr>
          <w:sz w:val="28"/>
          <w:szCs w:val="28"/>
        </w:rPr>
        <w:t xml:space="preserve"> 2025</w:t>
      </w:r>
    </w:p>
    <w:p w14:paraId="439C208C" w14:textId="77777777" w:rsidR="00782664" w:rsidRPr="00782664" w:rsidRDefault="00782664" w:rsidP="00712994">
      <w:pPr>
        <w:spacing w:after="0" w:line="240" w:lineRule="auto"/>
        <w:rPr>
          <w:sz w:val="22"/>
        </w:rPr>
      </w:pPr>
    </w:p>
    <w:p w14:paraId="67ED8BF4" w14:textId="6DF77C13" w:rsidR="00486E25" w:rsidRDefault="007F7C47" w:rsidP="0095787C">
      <w:pPr>
        <w:spacing w:after="0" w:line="240" w:lineRule="auto"/>
        <w:ind w:left="283"/>
      </w:pPr>
      <w:r w:rsidRPr="007F7C47">
        <w:rPr>
          <w:sz w:val="22"/>
        </w:rPr>
        <w:t>This is why these yarns are so important  – it’s why I’m desperate for our mob to be included. Because if we aren’t part of the stories being told,  and if we aren’t helping to write them from our perspective, then the future of farming will continue on its lopsided and unfulfilled journey  without Indigenous involvement</w:t>
      </w:r>
      <w:r>
        <w:t>.</w:t>
      </w:r>
      <w:r w:rsidR="0095787C">
        <w:rPr>
          <w:rStyle w:val="FootnoteReference"/>
        </w:rPr>
        <w:footnoteReference w:id="1"/>
      </w:r>
    </w:p>
    <w:p w14:paraId="79175F1E" w14:textId="77777777" w:rsidR="007F7C47" w:rsidRDefault="007F7C47" w:rsidP="00712994">
      <w:pPr>
        <w:spacing w:after="0" w:line="240" w:lineRule="auto"/>
        <w:rPr>
          <w:sz w:val="22"/>
        </w:rPr>
      </w:pPr>
    </w:p>
    <w:p w14:paraId="79608246" w14:textId="5BF6A863" w:rsidR="00696562" w:rsidRDefault="00C41C1C" w:rsidP="00712994">
      <w:pPr>
        <w:spacing w:after="0" w:line="240" w:lineRule="auto"/>
        <w:rPr>
          <w:sz w:val="22"/>
        </w:rPr>
      </w:pPr>
      <w:r>
        <w:rPr>
          <w:sz w:val="22"/>
        </w:rPr>
        <w:t xml:space="preserve">One of the themes that ran through my book </w:t>
      </w:r>
      <w:r w:rsidR="00AC2AD1" w:rsidRPr="00782664">
        <w:rPr>
          <w:i/>
          <w:iCs/>
          <w:sz w:val="22"/>
        </w:rPr>
        <w:t>True To The Land A history of food in Australia</w:t>
      </w:r>
      <w:r w:rsidR="009362BF" w:rsidRPr="00400C9E">
        <w:rPr>
          <w:rStyle w:val="FootnoteReference"/>
          <w:sz w:val="22"/>
        </w:rPr>
        <w:footnoteReference w:id="2"/>
      </w:r>
      <w:r w:rsidR="00AC2AD1" w:rsidRPr="00400C9E">
        <w:rPr>
          <w:sz w:val="22"/>
        </w:rPr>
        <w:t xml:space="preserve"> </w:t>
      </w:r>
      <w:r w:rsidR="00845F9D">
        <w:rPr>
          <w:sz w:val="22"/>
        </w:rPr>
        <w:t xml:space="preserve">was </w:t>
      </w:r>
      <w:r w:rsidR="009362BF" w:rsidRPr="00782664">
        <w:rPr>
          <w:sz w:val="22"/>
        </w:rPr>
        <w:t>foodways of Indigenous Australians</w:t>
      </w:r>
      <w:r w:rsidR="00166AC9" w:rsidRPr="00782664">
        <w:rPr>
          <w:sz w:val="22"/>
        </w:rPr>
        <w:t xml:space="preserve">. </w:t>
      </w:r>
      <w:r w:rsidR="00282608" w:rsidRPr="00782664">
        <w:rPr>
          <w:sz w:val="22"/>
        </w:rPr>
        <w:t xml:space="preserve">I </w:t>
      </w:r>
      <w:r w:rsidR="00F3462B" w:rsidRPr="00782664">
        <w:rPr>
          <w:sz w:val="22"/>
        </w:rPr>
        <w:t>thought I had all the bases covered.</w:t>
      </w:r>
      <w:r w:rsidR="00F3462B" w:rsidRPr="00782664">
        <w:rPr>
          <w:rStyle w:val="FootnoteReference"/>
          <w:sz w:val="22"/>
        </w:rPr>
        <w:footnoteReference w:id="3"/>
      </w:r>
      <w:r w:rsidR="001E3669" w:rsidRPr="00782664">
        <w:rPr>
          <w:sz w:val="22"/>
        </w:rPr>
        <w:t xml:space="preserve"> </w:t>
      </w:r>
      <w:r w:rsidR="00803367">
        <w:rPr>
          <w:sz w:val="22"/>
        </w:rPr>
        <w:t>Joshua</w:t>
      </w:r>
      <w:r w:rsidR="008C5A8C">
        <w:rPr>
          <w:sz w:val="22"/>
        </w:rPr>
        <w:t xml:space="preserve"> </w:t>
      </w:r>
      <w:r w:rsidR="00D840F9" w:rsidRPr="00782664">
        <w:rPr>
          <w:sz w:val="22"/>
        </w:rPr>
        <w:t xml:space="preserve">Gilbert’s book </w:t>
      </w:r>
      <w:r w:rsidR="00FF3273" w:rsidRPr="00782664">
        <w:rPr>
          <w:sz w:val="22"/>
        </w:rPr>
        <w:t xml:space="preserve">shows me a glaring </w:t>
      </w:r>
      <w:r w:rsidR="005D6158" w:rsidRPr="00782664">
        <w:rPr>
          <w:sz w:val="22"/>
        </w:rPr>
        <w:t>oversight</w:t>
      </w:r>
      <w:r w:rsidR="003E4777" w:rsidRPr="00782664">
        <w:rPr>
          <w:sz w:val="22"/>
        </w:rPr>
        <w:t>. I did not cover Indigenous farmers</w:t>
      </w:r>
      <w:r w:rsidR="00BA4AF2">
        <w:rPr>
          <w:sz w:val="22"/>
        </w:rPr>
        <w:t>.</w:t>
      </w:r>
    </w:p>
    <w:p w14:paraId="134E9FC4" w14:textId="77777777" w:rsidR="0034486D" w:rsidRDefault="0034486D" w:rsidP="00712994">
      <w:pPr>
        <w:spacing w:after="0" w:line="240" w:lineRule="auto"/>
        <w:rPr>
          <w:sz w:val="22"/>
        </w:rPr>
      </w:pPr>
    </w:p>
    <w:p w14:paraId="4FF4D2E3" w14:textId="1DFEB022" w:rsidR="00A53807" w:rsidRDefault="00A53807" w:rsidP="00A53807">
      <w:pPr>
        <w:spacing w:after="0" w:line="240" w:lineRule="auto"/>
        <w:rPr>
          <w:sz w:val="22"/>
        </w:rPr>
      </w:pPr>
      <w:r>
        <w:rPr>
          <w:sz w:val="22"/>
        </w:rPr>
        <w:t>Gilbert’s book champion</w:t>
      </w:r>
      <w:r w:rsidR="00E17B82">
        <w:rPr>
          <w:sz w:val="22"/>
        </w:rPr>
        <w:t>s</w:t>
      </w:r>
      <w:r w:rsidR="004F044C">
        <w:rPr>
          <w:sz w:val="22"/>
        </w:rPr>
        <w:t xml:space="preserve"> </w:t>
      </w:r>
      <w:r>
        <w:rPr>
          <w:sz w:val="22"/>
        </w:rPr>
        <w:t xml:space="preserve">the </w:t>
      </w:r>
      <w:r w:rsidR="00437492">
        <w:rPr>
          <w:sz w:val="22"/>
        </w:rPr>
        <w:t xml:space="preserve">historic and contemporary </w:t>
      </w:r>
      <w:r>
        <w:rPr>
          <w:sz w:val="22"/>
        </w:rPr>
        <w:t>place of Indigenous farmers in Australia’s agricultural industry</w:t>
      </w:r>
      <w:r w:rsidR="00BA253B">
        <w:rPr>
          <w:sz w:val="22"/>
        </w:rPr>
        <w:t>.</w:t>
      </w:r>
      <w:r w:rsidR="001D65EB">
        <w:rPr>
          <w:sz w:val="22"/>
        </w:rPr>
        <w:t xml:space="preserve"> </w:t>
      </w:r>
    </w:p>
    <w:p w14:paraId="05A0C000" w14:textId="77777777" w:rsidR="00A53807" w:rsidRDefault="00A53807" w:rsidP="00712994">
      <w:pPr>
        <w:spacing w:after="0" w:line="240" w:lineRule="auto"/>
        <w:rPr>
          <w:sz w:val="22"/>
        </w:rPr>
      </w:pPr>
    </w:p>
    <w:p w14:paraId="492A2FE2" w14:textId="6EB4E575" w:rsidR="00220194" w:rsidRDefault="006F620F" w:rsidP="00712994">
      <w:pPr>
        <w:spacing w:after="0" w:line="240" w:lineRule="auto"/>
        <w:rPr>
          <w:sz w:val="22"/>
        </w:rPr>
      </w:pPr>
      <w:r>
        <w:rPr>
          <w:sz w:val="22"/>
        </w:rPr>
        <w:t>Gilbert</w:t>
      </w:r>
      <w:r w:rsidR="00E03EED">
        <w:rPr>
          <w:sz w:val="22"/>
        </w:rPr>
        <w:t>, a Wor</w:t>
      </w:r>
      <w:r w:rsidR="00867A31">
        <w:rPr>
          <w:sz w:val="22"/>
        </w:rPr>
        <w:t>i</w:t>
      </w:r>
      <w:r w:rsidR="00724AC3">
        <w:rPr>
          <w:sz w:val="22"/>
        </w:rPr>
        <w:t xml:space="preserve">mi man, </w:t>
      </w:r>
      <w:r>
        <w:rPr>
          <w:sz w:val="22"/>
        </w:rPr>
        <w:t xml:space="preserve">has been a lawyer, </w:t>
      </w:r>
      <w:r w:rsidR="002B030A">
        <w:rPr>
          <w:sz w:val="22"/>
        </w:rPr>
        <w:t>an Indigenous management consultant</w:t>
      </w:r>
      <w:r w:rsidR="00015165">
        <w:rPr>
          <w:sz w:val="22"/>
        </w:rPr>
        <w:t>,</w:t>
      </w:r>
      <w:r w:rsidR="0027614C">
        <w:rPr>
          <w:sz w:val="22"/>
        </w:rPr>
        <w:t xml:space="preserve"> a representative of </w:t>
      </w:r>
      <w:r w:rsidR="009D6655">
        <w:rPr>
          <w:sz w:val="22"/>
        </w:rPr>
        <w:t>the Young Farmers of New South Wales</w:t>
      </w:r>
      <w:r w:rsidR="00F33B65">
        <w:rPr>
          <w:sz w:val="22"/>
        </w:rPr>
        <w:t xml:space="preserve">, and a Co-Chair </w:t>
      </w:r>
      <w:r w:rsidR="00994DAE">
        <w:rPr>
          <w:sz w:val="22"/>
        </w:rPr>
        <w:t xml:space="preserve">of Reconciliation New </w:t>
      </w:r>
      <w:r w:rsidR="00D23A77">
        <w:rPr>
          <w:sz w:val="22"/>
        </w:rPr>
        <w:t>S</w:t>
      </w:r>
      <w:r w:rsidR="00994DAE">
        <w:rPr>
          <w:sz w:val="22"/>
        </w:rPr>
        <w:t>outh Wales.</w:t>
      </w:r>
      <w:r w:rsidR="00165F49">
        <w:rPr>
          <w:sz w:val="22"/>
        </w:rPr>
        <w:t xml:space="preserve"> He is a fourth generation Indigenous farmer </w:t>
      </w:r>
      <w:r w:rsidR="00275DD2" w:rsidRPr="00D823AA">
        <w:rPr>
          <w:sz w:val="22"/>
        </w:rPr>
        <w:t>raising ‘cattle with humps – Bos indicus breed – on British-type cattle country.</w:t>
      </w:r>
      <w:r w:rsidR="001B4745" w:rsidRPr="00D823AA">
        <w:rPr>
          <w:sz w:val="22"/>
        </w:rPr>
        <w:t>’</w:t>
      </w:r>
      <w:r w:rsidR="001B4745" w:rsidRPr="00D823AA">
        <w:rPr>
          <w:sz w:val="22"/>
          <w:vertAlign w:val="superscript"/>
        </w:rPr>
        <w:footnoteReference w:id="4"/>
      </w:r>
      <w:r w:rsidR="00986FDE" w:rsidRPr="00D823AA">
        <w:rPr>
          <w:sz w:val="22"/>
          <w:vertAlign w:val="superscript"/>
        </w:rPr>
        <w:t xml:space="preserve"> </w:t>
      </w:r>
      <w:r w:rsidR="00D23A77">
        <w:rPr>
          <w:sz w:val="22"/>
          <w:vertAlign w:val="superscript"/>
        </w:rPr>
        <w:t xml:space="preserve"> </w:t>
      </w:r>
      <w:r w:rsidR="000D2834">
        <w:rPr>
          <w:sz w:val="22"/>
        </w:rPr>
        <w:t>Th</w:t>
      </w:r>
      <w:r w:rsidR="00A94FF1">
        <w:rPr>
          <w:sz w:val="22"/>
        </w:rPr>
        <w:t xml:space="preserve">e book is grounded </w:t>
      </w:r>
      <w:r w:rsidR="00CC220F">
        <w:rPr>
          <w:sz w:val="22"/>
        </w:rPr>
        <w:t>i</w:t>
      </w:r>
      <w:r w:rsidR="00417765">
        <w:rPr>
          <w:sz w:val="22"/>
        </w:rPr>
        <w:t xml:space="preserve">n </w:t>
      </w:r>
      <w:r w:rsidR="000202B3">
        <w:rPr>
          <w:sz w:val="22"/>
        </w:rPr>
        <w:t>s</w:t>
      </w:r>
      <w:r w:rsidR="0013353B">
        <w:rPr>
          <w:sz w:val="22"/>
        </w:rPr>
        <w:t>to</w:t>
      </w:r>
      <w:r w:rsidR="000202B3">
        <w:rPr>
          <w:sz w:val="22"/>
        </w:rPr>
        <w:t xml:space="preserve">ries </w:t>
      </w:r>
      <w:r w:rsidR="0013353B">
        <w:rPr>
          <w:sz w:val="22"/>
        </w:rPr>
        <w:t xml:space="preserve">of his family </w:t>
      </w:r>
      <w:r w:rsidR="00913120">
        <w:rPr>
          <w:sz w:val="22"/>
        </w:rPr>
        <w:t xml:space="preserve">as Indigenous </w:t>
      </w:r>
      <w:r w:rsidR="0094337D">
        <w:rPr>
          <w:sz w:val="22"/>
        </w:rPr>
        <w:t>cattle breeders and dairy farmers</w:t>
      </w:r>
      <w:r w:rsidR="00452B76">
        <w:rPr>
          <w:sz w:val="22"/>
        </w:rPr>
        <w:t xml:space="preserve">. </w:t>
      </w:r>
    </w:p>
    <w:p w14:paraId="1579C9B1" w14:textId="77777777" w:rsidR="00736873" w:rsidRDefault="00736873" w:rsidP="00712994">
      <w:pPr>
        <w:spacing w:after="0" w:line="240" w:lineRule="auto"/>
        <w:rPr>
          <w:sz w:val="22"/>
        </w:rPr>
      </w:pPr>
    </w:p>
    <w:p w14:paraId="187C2CE7" w14:textId="7A3B6E3C" w:rsidR="008432BE" w:rsidRDefault="005374CC" w:rsidP="00712994">
      <w:pPr>
        <w:spacing w:after="0" w:line="240" w:lineRule="auto"/>
        <w:rPr>
          <w:sz w:val="22"/>
        </w:rPr>
      </w:pPr>
      <w:r>
        <w:rPr>
          <w:sz w:val="22"/>
        </w:rPr>
        <w:t>Li</w:t>
      </w:r>
      <w:r w:rsidR="00D82AA2">
        <w:rPr>
          <w:sz w:val="22"/>
        </w:rPr>
        <w:t xml:space="preserve">ke </w:t>
      </w:r>
      <w:r w:rsidR="00E17143">
        <w:rPr>
          <w:sz w:val="22"/>
        </w:rPr>
        <w:t>Bruce Pascoe</w:t>
      </w:r>
      <w:r w:rsidR="002D68D9">
        <w:rPr>
          <w:rStyle w:val="FootnoteReference"/>
          <w:sz w:val="22"/>
        </w:rPr>
        <w:footnoteReference w:id="5"/>
      </w:r>
      <w:r w:rsidR="008473D0">
        <w:rPr>
          <w:sz w:val="22"/>
        </w:rPr>
        <w:t>, Gilbert</w:t>
      </w:r>
      <w:r w:rsidR="00ED26F6">
        <w:rPr>
          <w:sz w:val="22"/>
        </w:rPr>
        <w:t xml:space="preserve"> pushes</w:t>
      </w:r>
      <w:r w:rsidR="008473D0">
        <w:rPr>
          <w:sz w:val="22"/>
        </w:rPr>
        <w:t xml:space="preserve"> the boundary </w:t>
      </w:r>
      <w:r w:rsidR="00D3702F">
        <w:rPr>
          <w:sz w:val="22"/>
        </w:rPr>
        <w:t xml:space="preserve">of what farming is to </w:t>
      </w:r>
      <w:r w:rsidR="00357158" w:rsidRPr="00641EEC">
        <w:rPr>
          <w:sz w:val="22"/>
        </w:rPr>
        <w:t xml:space="preserve">be inclusive </w:t>
      </w:r>
      <w:r w:rsidR="0070515A" w:rsidRPr="00641EEC">
        <w:rPr>
          <w:sz w:val="22"/>
        </w:rPr>
        <w:t xml:space="preserve">of Indigenous </w:t>
      </w:r>
      <w:r w:rsidR="00221DCC" w:rsidRPr="00641EEC">
        <w:rPr>
          <w:sz w:val="22"/>
        </w:rPr>
        <w:t xml:space="preserve">management of the continent </w:t>
      </w:r>
      <w:r w:rsidR="00827F14" w:rsidRPr="00641EEC">
        <w:rPr>
          <w:sz w:val="22"/>
        </w:rPr>
        <w:t xml:space="preserve">and its resources </w:t>
      </w:r>
      <w:r w:rsidR="00C936F9" w:rsidRPr="00641EEC">
        <w:rPr>
          <w:sz w:val="22"/>
        </w:rPr>
        <w:t>over</w:t>
      </w:r>
      <w:r w:rsidR="00221DCC" w:rsidRPr="00641EEC">
        <w:rPr>
          <w:sz w:val="22"/>
        </w:rPr>
        <w:t xml:space="preserve"> the </w:t>
      </w:r>
      <w:r w:rsidR="00C936F9" w:rsidRPr="00641EEC">
        <w:rPr>
          <w:sz w:val="22"/>
        </w:rPr>
        <w:t xml:space="preserve">60,000 years </w:t>
      </w:r>
      <w:r w:rsidR="00FE051B" w:rsidRPr="00641EEC">
        <w:rPr>
          <w:sz w:val="22"/>
        </w:rPr>
        <w:t>of human habitation</w:t>
      </w:r>
      <w:r w:rsidR="00312361">
        <w:rPr>
          <w:sz w:val="22"/>
        </w:rPr>
        <w:t xml:space="preserve"> in Australia.</w:t>
      </w:r>
      <w:r w:rsidR="00436794">
        <w:rPr>
          <w:sz w:val="22"/>
        </w:rPr>
        <w:t xml:space="preserve"> This</w:t>
      </w:r>
      <w:r w:rsidR="0009057B">
        <w:rPr>
          <w:sz w:val="22"/>
        </w:rPr>
        <w:t xml:space="preserve">, </w:t>
      </w:r>
      <w:r w:rsidR="00BA7A1B">
        <w:rPr>
          <w:sz w:val="22"/>
        </w:rPr>
        <w:t>Gilbert says,</w:t>
      </w:r>
      <w:r w:rsidR="00436794">
        <w:rPr>
          <w:sz w:val="22"/>
        </w:rPr>
        <w:t xml:space="preserve"> has given </w:t>
      </w:r>
      <w:r w:rsidR="00B040FF">
        <w:rPr>
          <w:sz w:val="22"/>
        </w:rPr>
        <w:t>Indigenous</w:t>
      </w:r>
      <w:r w:rsidR="00436794">
        <w:rPr>
          <w:sz w:val="22"/>
        </w:rPr>
        <w:t xml:space="preserve"> </w:t>
      </w:r>
      <w:r w:rsidR="00B040FF">
        <w:rPr>
          <w:sz w:val="22"/>
        </w:rPr>
        <w:t xml:space="preserve">farmers knowledge that is useful for agriculture </w:t>
      </w:r>
      <w:r w:rsidR="00FD41E4">
        <w:rPr>
          <w:sz w:val="22"/>
        </w:rPr>
        <w:t>today</w:t>
      </w:r>
      <w:r w:rsidR="00B10FC9">
        <w:rPr>
          <w:sz w:val="22"/>
        </w:rPr>
        <w:t>. For example</w:t>
      </w:r>
      <w:r w:rsidR="000F0A8F">
        <w:rPr>
          <w:sz w:val="22"/>
        </w:rPr>
        <w:t xml:space="preserve">, </w:t>
      </w:r>
      <w:r w:rsidR="000250CF">
        <w:rPr>
          <w:sz w:val="22"/>
        </w:rPr>
        <w:t xml:space="preserve">responding </w:t>
      </w:r>
      <w:r w:rsidR="00920288">
        <w:rPr>
          <w:sz w:val="22"/>
        </w:rPr>
        <w:t xml:space="preserve">to </w:t>
      </w:r>
      <w:r w:rsidR="00C932CF">
        <w:rPr>
          <w:sz w:val="22"/>
        </w:rPr>
        <w:t>climate change.</w:t>
      </w:r>
    </w:p>
    <w:p w14:paraId="65B211A3" w14:textId="77777777" w:rsidR="000D7D31" w:rsidRDefault="000D7D31" w:rsidP="00712994">
      <w:pPr>
        <w:spacing w:after="0" w:line="240" w:lineRule="auto"/>
        <w:ind w:left="283"/>
        <w:rPr>
          <w:sz w:val="22"/>
        </w:rPr>
      </w:pPr>
    </w:p>
    <w:p w14:paraId="7FD62855" w14:textId="17E5CB39" w:rsidR="000D7D31" w:rsidRDefault="000D7D31" w:rsidP="00712994">
      <w:pPr>
        <w:spacing w:after="0" w:line="240" w:lineRule="auto"/>
        <w:ind w:left="283"/>
        <w:rPr>
          <w:sz w:val="22"/>
        </w:rPr>
      </w:pPr>
      <w:r w:rsidRPr="00BC0847">
        <w:rPr>
          <w:sz w:val="22"/>
        </w:rPr>
        <w:t>Indigenous people have a connection to the land that goes beyond words, and this contains knowledge of climate change. They’ve survived drought, extreme weather and floods for tens of thousands of years. The knowledge we have gathered can help both farmers and scientists understand how to adapt to climate. We should tap into this and embrace what Indigenous Australians have to offer.</w:t>
      </w:r>
      <w:r w:rsidRPr="003C1CB8">
        <w:rPr>
          <w:sz w:val="22"/>
          <w:vertAlign w:val="superscript"/>
        </w:rPr>
        <w:footnoteReference w:id="6"/>
      </w:r>
    </w:p>
    <w:p w14:paraId="5B4BA3C2" w14:textId="77777777" w:rsidR="000D7D31" w:rsidRDefault="000D7D31" w:rsidP="00712994">
      <w:pPr>
        <w:spacing w:after="0" w:line="240" w:lineRule="auto"/>
        <w:rPr>
          <w:sz w:val="22"/>
        </w:rPr>
      </w:pPr>
    </w:p>
    <w:p w14:paraId="491E3BC9" w14:textId="13F879F6" w:rsidR="0000763B" w:rsidRDefault="000D7D31" w:rsidP="00712994">
      <w:pPr>
        <w:spacing w:after="0" w:line="240" w:lineRule="auto"/>
        <w:rPr>
          <w:sz w:val="22"/>
        </w:rPr>
      </w:pPr>
      <w:r>
        <w:rPr>
          <w:sz w:val="22"/>
        </w:rPr>
        <w:t>However</w:t>
      </w:r>
      <w:r w:rsidR="00446957">
        <w:rPr>
          <w:sz w:val="22"/>
        </w:rPr>
        <w:t>,</w:t>
      </w:r>
      <w:r>
        <w:rPr>
          <w:sz w:val="22"/>
        </w:rPr>
        <w:t xml:space="preserve"> that’s not happening</w:t>
      </w:r>
      <w:r w:rsidR="008B0433">
        <w:rPr>
          <w:sz w:val="22"/>
        </w:rPr>
        <w:t>,</w:t>
      </w:r>
      <w:r w:rsidR="009F3F44">
        <w:rPr>
          <w:sz w:val="22"/>
        </w:rPr>
        <w:t xml:space="preserve"> </w:t>
      </w:r>
      <w:r w:rsidR="0052798C" w:rsidRPr="008E006D">
        <w:rPr>
          <w:sz w:val="22"/>
        </w:rPr>
        <w:t xml:space="preserve">Gilbert </w:t>
      </w:r>
      <w:r w:rsidR="00685764">
        <w:rPr>
          <w:sz w:val="22"/>
        </w:rPr>
        <w:t>writes:</w:t>
      </w:r>
      <w:r w:rsidR="00B730C5">
        <w:rPr>
          <w:sz w:val="22"/>
        </w:rPr>
        <w:t xml:space="preserve"> </w:t>
      </w:r>
    </w:p>
    <w:p w14:paraId="3D2E6A53" w14:textId="77777777" w:rsidR="00685764" w:rsidRDefault="00685764" w:rsidP="00712994">
      <w:pPr>
        <w:spacing w:after="0" w:line="240" w:lineRule="auto"/>
        <w:rPr>
          <w:sz w:val="22"/>
        </w:rPr>
      </w:pPr>
    </w:p>
    <w:p w14:paraId="2CF84CFA" w14:textId="769A164E" w:rsidR="00765C3A" w:rsidRPr="008E006D" w:rsidRDefault="00765C3A" w:rsidP="00712994">
      <w:pPr>
        <w:spacing w:after="0" w:line="240" w:lineRule="auto"/>
        <w:ind w:left="283"/>
        <w:rPr>
          <w:sz w:val="22"/>
        </w:rPr>
      </w:pPr>
      <w:r>
        <w:rPr>
          <w:sz w:val="22"/>
        </w:rPr>
        <w:t>‘</w:t>
      </w:r>
      <w:r w:rsidR="00C44935" w:rsidRPr="00B730C5">
        <w:rPr>
          <w:sz w:val="22"/>
        </w:rPr>
        <w:t xml:space="preserve">We are rarely mentioned in conversations taking place in an industry that desperately need our </w:t>
      </w:r>
      <w:proofErr w:type="gramStart"/>
      <w:r w:rsidR="00C44935" w:rsidRPr="00B730C5">
        <w:rPr>
          <w:sz w:val="22"/>
        </w:rPr>
        <w:t>people, and</w:t>
      </w:r>
      <w:proofErr w:type="gramEnd"/>
      <w:r w:rsidR="00C44935" w:rsidRPr="00B730C5">
        <w:rPr>
          <w:sz w:val="22"/>
        </w:rPr>
        <w:t xml:space="preserve"> urgently needs to form connections to access our lands and learn deeply of this Country.</w:t>
      </w:r>
      <w:r>
        <w:rPr>
          <w:sz w:val="22"/>
        </w:rPr>
        <w:t xml:space="preserve"> </w:t>
      </w:r>
      <w:r w:rsidR="000511BA">
        <w:rPr>
          <w:sz w:val="22"/>
        </w:rPr>
        <w:t>T</w:t>
      </w:r>
      <w:r w:rsidRPr="008E006D">
        <w:rPr>
          <w:sz w:val="22"/>
        </w:rPr>
        <w:t>here are very few blacks at the leadership tables, or at agricultural conferences, or in the media. You mostly see us in the ranger projects designed  to keep mob on Country’</w:t>
      </w:r>
      <w:r>
        <w:rPr>
          <w:sz w:val="22"/>
        </w:rPr>
        <w:t>.</w:t>
      </w:r>
      <w:r w:rsidRPr="00F870BC">
        <w:rPr>
          <w:vertAlign w:val="superscript"/>
        </w:rPr>
        <w:footnoteReference w:id="7"/>
      </w:r>
    </w:p>
    <w:p w14:paraId="0B34FF35" w14:textId="77777777" w:rsidR="00F870BC" w:rsidRDefault="00F870BC" w:rsidP="00712994">
      <w:pPr>
        <w:spacing w:after="0" w:line="240" w:lineRule="auto"/>
        <w:rPr>
          <w:sz w:val="22"/>
        </w:rPr>
      </w:pPr>
    </w:p>
    <w:p w14:paraId="5B52DA87" w14:textId="3904C647" w:rsidR="008F59E3" w:rsidRDefault="008F59E3" w:rsidP="008F59E3">
      <w:pPr>
        <w:spacing w:after="0" w:line="240" w:lineRule="auto"/>
        <w:rPr>
          <w:sz w:val="22"/>
        </w:rPr>
      </w:pPr>
      <w:r>
        <w:rPr>
          <w:sz w:val="22"/>
        </w:rPr>
        <w:lastRenderedPageBreak/>
        <w:t>He points to news coverage of the droughts and floods in the mid-2020s, where Indigenous voices were not sought</w:t>
      </w:r>
      <w:r w:rsidR="005C61DE">
        <w:rPr>
          <w:sz w:val="22"/>
        </w:rPr>
        <w:t xml:space="preserve"> and </w:t>
      </w:r>
      <w:r w:rsidR="00B46ABD">
        <w:rPr>
          <w:sz w:val="22"/>
        </w:rPr>
        <w:t>asks: ‘What</w:t>
      </w:r>
      <w:r>
        <w:rPr>
          <w:sz w:val="22"/>
        </w:rPr>
        <w:t xml:space="preserve"> if we recognised the 60,000 years of knowledge to understand Australia and its landscapes better’.</w:t>
      </w:r>
      <w:r>
        <w:rPr>
          <w:rStyle w:val="FootnoteReference"/>
          <w:sz w:val="22"/>
        </w:rPr>
        <w:footnoteReference w:id="8"/>
      </w:r>
      <w:r>
        <w:rPr>
          <w:sz w:val="22"/>
        </w:rPr>
        <w:t xml:space="preserve">  </w:t>
      </w:r>
    </w:p>
    <w:p w14:paraId="79518C35" w14:textId="77777777" w:rsidR="008030FB" w:rsidRDefault="008030FB" w:rsidP="00712994">
      <w:pPr>
        <w:spacing w:after="0" w:line="240" w:lineRule="auto"/>
        <w:rPr>
          <w:sz w:val="22"/>
        </w:rPr>
      </w:pPr>
    </w:p>
    <w:p w14:paraId="760D587B" w14:textId="77777777" w:rsidR="00E93972" w:rsidRDefault="006E366F" w:rsidP="00712994">
      <w:pPr>
        <w:spacing w:after="0" w:line="240" w:lineRule="auto"/>
        <w:rPr>
          <w:sz w:val="22"/>
        </w:rPr>
      </w:pPr>
      <w:r>
        <w:rPr>
          <w:sz w:val="22"/>
        </w:rPr>
        <w:t xml:space="preserve">But to </w:t>
      </w:r>
      <w:r w:rsidR="008D6F5C">
        <w:rPr>
          <w:sz w:val="22"/>
        </w:rPr>
        <w:t>do tha</w:t>
      </w:r>
      <w:r w:rsidR="00DF5370">
        <w:rPr>
          <w:sz w:val="22"/>
        </w:rPr>
        <w:t xml:space="preserve">t </w:t>
      </w:r>
      <w:r>
        <w:rPr>
          <w:sz w:val="22"/>
        </w:rPr>
        <w:t xml:space="preserve">you have to acknowledge </w:t>
      </w:r>
      <w:r w:rsidR="00D02598">
        <w:rPr>
          <w:sz w:val="22"/>
        </w:rPr>
        <w:t xml:space="preserve">that there are </w:t>
      </w:r>
      <w:r w:rsidR="00A01521">
        <w:rPr>
          <w:sz w:val="22"/>
        </w:rPr>
        <w:t xml:space="preserve">Indigenous farmers. </w:t>
      </w:r>
      <w:r w:rsidR="00E73608">
        <w:rPr>
          <w:sz w:val="22"/>
        </w:rPr>
        <w:t xml:space="preserve">Gilbert </w:t>
      </w:r>
      <w:r w:rsidR="00117E37">
        <w:rPr>
          <w:sz w:val="22"/>
        </w:rPr>
        <w:t xml:space="preserve">writes of </w:t>
      </w:r>
      <w:r w:rsidR="008F7008">
        <w:rPr>
          <w:sz w:val="22"/>
        </w:rPr>
        <w:t>two</w:t>
      </w:r>
    </w:p>
    <w:p w14:paraId="0C6BFC0D" w14:textId="38A79CFF" w:rsidR="005A5085" w:rsidRDefault="00882246" w:rsidP="00712994">
      <w:pPr>
        <w:spacing w:after="0" w:line="240" w:lineRule="auto"/>
        <w:rPr>
          <w:sz w:val="22"/>
        </w:rPr>
      </w:pPr>
      <w:r>
        <w:rPr>
          <w:sz w:val="22"/>
        </w:rPr>
        <w:t xml:space="preserve">barriers that </w:t>
      </w:r>
      <w:r w:rsidR="00E93972">
        <w:rPr>
          <w:sz w:val="22"/>
        </w:rPr>
        <w:t>impinge on this</w:t>
      </w:r>
      <w:r w:rsidR="007A0022">
        <w:rPr>
          <w:sz w:val="22"/>
        </w:rPr>
        <w:t xml:space="preserve">. </w:t>
      </w:r>
      <w:r w:rsidR="00610837">
        <w:rPr>
          <w:sz w:val="22"/>
        </w:rPr>
        <w:t xml:space="preserve">The first is the view that </w:t>
      </w:r>
      <w:r w:rsidR="00FE118F">
        <w:rPr>
          <w:sz w:val="22"/>
        </w:rPr>
        <w:t xml:space="preserve">you can’t be both a </w:t>
      </w:r>
      <w:r w:rsidR="009360F5">
        <w:rPr>
          <w:sz w:val="22"/>
        </w:rPr>
        <w:t>farmer</w:t>
      </w:r>
      <w:r w:rsidR="00FE118F">
        <w:rPr>
          <w:sz w:val="22"/>
        </w:rPr>
        <w:t xml:space="preserve"> and </w:t>
      </w:r>
      <w:r w:rsidR="00DB6A98">
        <w:rPr>
          <w:sz w:val="22"/>
        </w:rPr>
        <w:t>Aboriginal</w:t>
      </w:r>
      <w:r w:rsidR="00FE118F">
        <w:rPr>
          <w:sz w:val="22"/>
        </w:rPr>
        <w:t>.</w:t>
      </w:r>
      <w:r w:rsidR="00DB6A98">
        <w:rPr>
          <w:sz w:val="22"/>
        </w:rPr>
        <w:t xml:space="preserve"> This is a view developed by anthropologists </w:t>
      </w:r>
      <w:r w:rsidR="00BB7E71">
        <w:rPr>
          <w:sz w:val="22"/>
        </w:rPr>
        <w:t xml:space="preserve">like </w:t>
      </w:r>
      <w:r w:rsidR="006925A9">
        <w:rPr>
          <w:sz w:val="22"/>
        </w:rPr>
        <w:t>W.E.H.</w:t>
      </w:r>
      <w:r w:rsidR="001B3DE7">
        <w:rPr>
          <w:sz w:val="22"/>
        </w:rPr>
        <w:t xml:space="preserve"> </w:t>
      </w:r>
      <w:r w:rsidR="006925A9">
        <w:rPr>
          <w:sz w:val="22"/>
        </w:rPr>
        <w:t>Stanner</w:t>
      </w:r>
      <w:r w:rsidR="009360F5">
        <w:rPr>
          <w:sz w:val="22"/>
        </w:rPr>
        <w:t xml:space="preserve"> </w:t>
      </w:r>
      <w:r w:rsidR="006A155C">
        <w:rPr>
          <w:sz w:val="22"/>
        </w:rPr>
        <w:t>in the 1930s</w:t>
      </w:r>
      <w:r w:rsidR="00B45D8D">
        <w:rPr>
          <w:sz w:val="22"/>
        </w:rPr>
        <w:t xml:space="preserve">, </w:t>
      </w:r>
      <w:r w:rsidR="00D65B60">
        <w:rPr>
          <w:sz w:val="22"/>
        </w:rPr>
        <w:t>adopted by governments</w:t>
      </w:r>
      <w:r w:rsidR="00447834">
        <w:rPr>
          <w:sz w:val="22"/>
        </w:rPr>
        <w:t xml:space="preserve"> and still</w:t>
      </w:r>
      <w:r w:rsidR="00B45D8D">
        <w:rPr>
          <w:sz w:val="22"/>
        </w:rPr>
        <w:t xml:space="preserve"> </w:t>
      </w:r>
      <w:r w:rsidR="00447834">
        <w:rPr>
          <w:sz w:val="22"/>
        </w:rPr>
        <w:t>prevalent</w:t>
      </w:r>
      <w:r w:rsidR="006A155C">
        <w:rPr>
          <w:sz w:val="22"/>
        </w:rPr>
        <w:t>.</w:t>
      </w:r>
      <w:r w:rsidR="006A155C" w:rsidRPr="00F870BC">
        <w:rPr>
          <w:vertAlign w:val="superscript"/>
        </w:rPr>
        <w:footnoteReference w:id="9"/>
      </w:r>
    </w:p>
    <w:p w14:paraId="482019FB" w14:textId="77777777" w:rsidR="004B2E79" w:rsidRDefault="004B2E79" w:rsidP="00712994">
      <w:pPr>
        <w:spacing w:after="0" w:line="240" w:lineRule="auto"/>
        <w:rPr>
          <w:sz w:val="22"/>
        </w:rPr>
      </w:pPr>
    </w:p>
    <w:p w14:paraId="2D0AB31A" w14:textId="1152A532" w:rsidR="003C1CB8" w:rsidRDefault="008C4509" w:rsidP="00712994">
      <w:pPr>
        <w:spacing w:after="0" w:line="240" w:lineRule="auto"/>
        <w:rPr>
          <w:sz w:val="22"/>
        </w:rPr>
      </w:pPr>
      <w:r>
        <w:rPr>
          <w:sz w:val="22"/>
        </w:rPr>
        <w:t xml:space="preserve">The second </w:t>
      </w:r>
      <w:r w:rsidR="004B2E79">
        <w:rPr>
          <w:sz w:val="22"/>
        </w:rPr>
        <w:t xml:space="preserve">is the view that </w:t>
      </w:r>
      <w:r w:rsidR="00FD029E">
        <w:rPr>
          <w:sz w:val="22"/>
        </w:rPr>
        <w:t>Indigenous</w:t>
      </w:r>
      <w:r w:rsidR="00C93962">
        <w:rPr>
          <w:sz w:val="22"/>
        </w:rPr>
        <w:t xml:space="preserve"> </w:t>
      </w:r>
      <w:r w:rsidR="00FD029E">
        <w:rPr>
          <w:sz w:val="22"/>
        </w:rPr>
        <w:t xml:space="preserve">farming stopped in the early </w:t>
      </w:r>
      <w:r w:rsidR="00F838F9">
        <w:rPr>
          <w:sz w:val="22"/>
        </w:rPr>
        <w:t>y</w:t>
      </w:r>
      <w:r w:rsidR="00FD029E">
        <w:rPr>
          <w:sz w:val="22"/>
        </w:rPr>
        <w:t>ears of the colony</w:t>
      </w:r>
      <w:r w:rsidR="00F838F9">
        <w:rPr>
          <w:sz w:val="22"/>
        </w:rPr>
        <w:t xml:space="preserve">. </w:t>
      </w:r>
    </w:p>
    <w:p w14:paraId="0691F0E6" w14:textId="77777777" w:rsidR="003C1CB8" w:rsidRPr="003C1CB8" w:rsidRDefault="003C1CB8" w:rsidP="00712994">
      <w:pPr>
        <w:spacing w:after="0" w:line="240" w:lineRule="auto"/>
        <w:rPr>
          <w:sz w:val="22"/>
        </w:rPr>
      </w:pPr>
    </w:p>
    <w:p w14:paraId="6886CFEF" w14:textId="5A4D4958" w:rsidR="002277AC" w:rsidRDefault="002277AC" w:rsidP="00712994">
      <w:pPr>
        <w:spacing w:after="0" w:line="240" w:lineRule="auto"/>
        <w:ind w:left="283"/>
        <w:rPr>
          <w:sz w:val="22"/>
        </w:rPr>
      </w:pPr>
      <w:r w:rsidRPr="003C1CB8">
        <w:rPr>
          <w:sz w:val="22"/>
        </w:rPr>
        <w:t>I worry that the concept of ‘Indigenous agriculture’  is an idea fixed in a time of two hundred years ago, which then assigns Indigenous people with a people who cannot farm, rather than acknowledging there have always been legitimate farmers, both prior to and after colonisation, who also happen to be Indigenous.</w:t>
      </w:r>
      <w:r w:rsidR="004574E2">
        <w:rPr>
          <w:rStyle w:val="FootnoteReference"/>
          <w:sz w:val="22"/>
        </w:rPr>
        <w:footnoteReference w:id="10"/>
      </w:r>
    </w:p>
    <w:p w14:paraId="196A60CA" w14:textId="77777777" w:rsidR="00A56EAA" w:rsidRDefault="00A56EAA" w:rsidP="00F818FB">
      <w:pPr>
        <w:spacing w:after="0" w:line="240" w:lineRule="auto"/>
        <w:rPr>
          <w:sz w:val="22"/>
        </w:rPr>
      </w:pPr>
    </w:p>
    <w:p w14:paraId="0FFCC5E4" w14:textId="7160DED6" w:rsidR="00F818FB" w:rsidRDefault="00543B6F" w:rsidP="00EF7643">
      <w:pPr>
        <w:spacing w:after="0" w:line="240" w:lineRule="auto"/>
        <w:rPr>
          <w:sz w:val="22"/>
        </w:rPr>
      </w:pPr>
      <w:r>
        <w:rPr>
          <w:sz w:val="22"/>
        </w:rPr>
        <w:t xml:space="preserve">‘In </w:t>
      </w:r>
      <w:r w:rsidR="00A47137">
        <w:rPr>
          <w:sz w:val="22"/>
        </w:rPr>
        <w:t xml:space="preserve">spite of our history,’ he writes, ‘Indigenous farmers </w:t>
      </w:r>
      <w:r w:rsidR="00D658CB">
        <w:rPr>
          <w:sz w:val="22"/>
        </w:rPr>
        <w:t xml:space="preserve">are still here and are working successfully </w:t>
      </w:r>
      <w:r w:rsidR="001E7977">
        <w:rPr>
          <w:sz w:val="22"/>
        </w:rPr>
        <w:t>in the modern food industry.</w:t>
      </w:r>
      <w:r w:rsidR="00744582">
        <w:rPr>
          <w:sz w:val="22"/>
        </w:rPr>
        <w:t>’</w:t>
      </w:r>
      <w:r w:rsidR="00744582">
        <w:rPr>
          <w:rStyle w:val="FootnoteReference"/>
          <w:sz w:val="22"/>
        </w:rPr>
        <w:footnoteReference w:id="11"/>
      </w:r>
    </w:p>
    <w:p w14:paraId="641FBD3D" w14:textId="77777777" w:rsidR="00B7171E" w:rsidRDefault="00B7171E" w:rsidP="00EF7643">
      <w:pPr>
        <w:spacing w:after="0" w:line="240" w:lineRule="auto"/>
        <w:rPr>
          <w:sz w:val="22"/>
        </w:rPr>
      </w:pPr>
    </w:p>
    <w:p w14:paraId="3D7B3293" w14:textId="4359B91F" w:rsidR="0005736C" w:rsidRDefault="0005736C" w:rsidP="00EF7643">
      <w:pPr>
        <w:spacing w:after="0" w:line="240" w:lineRule="auto"/>
        <w:rPr>
          <w:sz w:val="22"/>
        </w:rPr>
      </w:pPr>
      <w:r>
        <w:rPr>
          <w:sz w:val="22"/>
        </w:rPr>
        <w:t>Over laying all of this is endemic casual racism</w:t>
      </w:r>
      <w:r w:rsidR="006144A1">
        <w:rPr>
          <w:sz w:val="22"/>
        </w:rPr>
        <w:t xml:space="preserve"> in the agriculture sector.</w:t>
      </w:r>
      <w:r>
        <w:rPr>
          <w:sz w:val="22"/>
        </w:rPr>
        <w:t xml:space="preserve"> Gilbert recounts what happened at a livestock sale.</w:t>
      </w:r>
    </w:p>
    <w:p w14:paraId="3A4FFD75" w14:textId="77777777" w:rsidR="0005736C" w:rsidRDefault="0005736C" w:rsidP="00EF7643">
      <w:pPr>
        <w:spacing w:after="0" w:line="240" w:lineRule="auto"/>
        <w:ind w:left="567"/>
        <w:rPr>
          <w:sz w:val="22"/>
        </w:rPr>
      </w:pPr>
    </w:p>
    <w:p w14:paraId="29BB32FE" w14:textId="77777777" w:rsidR="0005736C" w:rsidRDefault="0005736C" w:rsidP="00EF7643">
      <w:pPr>
        <w:spacing w:after="0" w:line="240" w:lineRule="auto"/>
        <w:ind w:left="567"/>
        <w:rPr>
          <w:sz w:val="22"/>
        </w:rPr>
      </w:pPr>
      <w:r>
        <w:rPr>
          <w:sz w:val="22"/>
        </w:rPr>
        <w:t>When an acknowledgement of country is booed, when mob receive a lesser price per kilo for their beef from live-stock agents, and when Indigenous farmers are reluctant to publicly identify due to fear of endemic casual racism, it’s clear something needs to change.</w:t>
      </w:r>
      <w:r>
        <w:rPr>
          <w:rStyle w:val="FootnoteReference"/>
          <w:sz w:val="22"/>
        </w:rPr>
        <w:footnoteReference w:id="12"/>
      </w:r>
    </w:p>
    <w:p w14:paraId="0DA00AAD" w14:textId="77777777" w:rsidR="0005736C" w:rsidRDefault="0005736C" w:rsidP="00EF7643">
      <w:pPr>
        <w:spacing w:after="0" w:line="240" w:lineRule="auto"/>
        <w:rPr>
          <w:sz w:val="22"/>
        </w:rPr>
      </w:pPr>
    </w:p>
    <w:p w14:paraId="0BF3932E" w14:textId="0BF76B43" w:rsidR="008F2D70" w:rsidRDefault="007A16B7" w:rsidP="00EF7643">
      <w:pPr>
        <w:spacing w:after="0" w:line="240" w:lineRule="auto"/>
        <w:rPr>
          <w:sz w:val="22"/>
        </w:rPr>
      </w:pPr>
      <w:r>
        <w:rPr>
          <w:sz w:val="22"/>
        </w:rPr>
        <w:t xml:space="preserve">What needs to be changed </w:t>
      </w:r>
      <w:r w:rsidR="00AC6475">
        <w:rPr>
          <w:sz w:val="22"/>
        </w:rPr>
        <w:t xml:space="preserve">is </w:t>
      </w:r>
      <w:r w:rsidR="00D63FBA">
        <w:rPr>
          <w:sz w:val="22"/>
        </w:rPr>
        <w:t xml:space="preserve">to </w:t>
      </w:r>
      <w:r w:rsidR="003517FF">
        <w:rPr>
          <w:sz w:val="22"/>
        </w:rPr>
        <w:t>acknowledge</w:t>
      </w:r>
      <w:r w:rsidR="00AC6475">
        <w:rPr>
          <w:sz w:val="22"/>
        </w:rPr>
        <w:t xml:space="preserve"> </w:t>
      </w:r>
      <w:r w:rsidR="008F2D70">
        <w:rPr>
          <w:sz w:val="22"/>
        </w:rPr>
        <w:t>‘</w:t>
      </w:r>
      <w:r w:rsidR="00AC6475">
        <w:rPr>
          <w:sz w:val="22"/>
        </w:rPr>
        <w:t>the</w:t>
      </w:r>
      <w:r w:rsidR="008F2D70" w:rsidRPr="00782664">
        <w:rPr>
          <w:sz w:val="22"/>
        </w:rPr>
        <w:t xml:space="preserve"> role of Indigenous people in Western agricultural production since colonisation. Simply I contend that a truly Australian agricultural yarn must include First Nations voices, harnessing our 60,000 years of knowledge</w:t>
      </w:r>
      <w:r w:rsidR="008F2D70">
        <w:rPr>
          <w:sz w:val="22"/>
        </w:rPr>
        <w:t>’</w:t>
      </w:r>
      <w:r w:rsidR="008F2D70" w:rsidRPr="00782664">
        <w:rPr>
          <w:sz w:val="22"/>
        </w:rPr>
        <w:t>.</w:t>
      </w:r>
      <w:r w:rsidR="008F2D70" w:rsidRPr="00782664">
        <w:rPr>
          <w:rStyle w:val="FootnoteReference"/>
          <w:sz w:val="22"/>
        </w:rPr>
        <w:footnoteReference w:id="13"/>
      </w:r>
      <w:r w:rsidR="008F2D70">
        <w:rPr>
          <w:sz w:val="22"/>
        </w:rPr>
        <w:t xml:space="preserve">  </w:t>
      </w:r>
    </w:p>
    <w:p w14:paraId="353CC057" w14:textId="77777777" w:rsidR="00644400" w:rsidRPr="00782664" w:rsidRDefault="00644400" w:rsidP="00EF7643">
      <w:pPr>
        <w:spacing w:after="0" w:line="240" w:lineRule="auto"/>
        <w:rPr>
          <w:sz w:val="22"/>
        </w:rPr>
      </w:pPr>
    </w:p>
    <w:p w14:paraId="0FD20CEF" w14:textId="368EE892" w:rsidR="00496C8C" w:rsidRPr="00496C8C" w:rsidRDefault="00644400" w:rsidP="00496C8C">
      <w:pPr>
        <w:spacing w:line="240" w:lineRule="auto"/>
        <w:rPr>
          <w:sz w:val="22"/>
        </w:rPr>
      </w:pPr>
      <w:r>
        <w:rPr>
          <w:sz w:val="22"/>
        </w:rPr>
        <w:t>How might</w:t>
      </w:r>
      <w:r w:rsidR="0006070D">
        <w:rPr>
          <w:sz w:val="22"/>
        </w:rPr>
        <w:t xml:space="preserve"> this</w:t>
      </w:r>
      <w:r w:rsidR="00BF33F5">
        <w:rPr>
          <w:sz w:val="22"/>
        </w:rPr>
        <w:t xml:space="preserve"> change </w:t>
      </w:r>
      <w:r w:rsidR="0006070D">
        <w:rPr>
          <w:sz w:val="22"/>
        </w:rPr>
        <w:t xml:space="preserve">happen? </w:t>
      </w:r>
      <w:r w:rsidR="008E485D">
        <w:rPr>
          <w:sz w:val="22"/>
        </w:rPr>
        <w:t xml:space="preserve">Through </w:t>
      </w:r>
      <w:r w:rsidR="0017632D">
        <w:rPr>
          <w:sz w:val="22"/>
        </w:rPr>
        <w:t>a ‘</w:t>
      </w:r>
      <w:r w:rsidR="0048296C">
        <w:rPr>
          <w:sz w:val="22"/>
        </w:rPr>
        <w:t>gastronomic reconciliation’</w:t>
      </w:r>
      <w:r w:rsidR="00700B91">
        <w:rPr>
          <w:sz w:val="22"/>
        </w:rPr>
        <w:t xml:space="preserve">, bringing </w:t>
      </w:r>
      <w:r w:rsidR="00437F52">
        <w:rPr>
          <w:sz w:val="22"/>
        </w:rPr>
        <w:t xml:space="preserve">Indigenous farmers </w:t>
      </w:r>
      <w:r w:rsidR="00623D8D">
        <w:rPr>
          <w:sz w:val="22"/>
        </w:rPr>
        <w:t xml:space="preserve">and their stories </w:t>
      </w:r>
      <w:r w:rsidR="00EC2602">
        <w:rPr>
          <w:sz w:val="22"/>
        </w:rPr>
        <w:t>‘</w:t>
      </w:r>
      <w:r w:rsidR="00623D8D">
        <w:rPr>
          <w:sz w:val="22"/>
        </w:rPr>
        <w:t xml:space="preserve">to </w:t>
      </w:r>
      <w:r w:rsidR="00E2387F" w:rsidRPr="006711B9">
        <w:rPr>
          <w:sz w:val="22"/>
        </w:rPr>
        <w:t>the tables of our restaurants, cafes, and home kitchens.</w:t>
      </w:r>
      <w:r w:rsidR="00EC2602">
        <w:rPr>
          <w:sz w:val="22"/>
        </w:rPr>
        <w:t>’</w:t>
      </w:r>
      <w:r w:rsidR="00F47E1A" w:rsidRPr="00496C8C">
        <w:rPr>
          <w:vertAlign w:val="superscript"/>
        </w:rPr>
        <w:footnoteReference w:id="14"/>
      </w:r>
      <w:r w:rsidR="00D67518">
        <w:rPr>
          <w:sz w:val="22"/>
        </w:rPr>
        <w:t xml:space="preserve"> </w:t>
      </w:r>
      <w:r w:rsidR="00496C8C">
        <w:rPr>
          <w:sz w:val="22"/>
        </w:rPr>
        <w:t>‘</w:t>
      </w:r>
      <w:r w:rsidR="00496C8C" w:rsidRPr="00496C8C">
        <w:rPr>
          <w:sz w:val="22"/>
        </w:rPr>
        <w:t>We should be telling the yarn of the resilience of our Indigenous farmers. Stories about our adaptability in climate change … We need to know about the careful attention being paid to breed cattle that emit less methane, and how renewables are providing alternative income streams to help ride throughs. …</w:t>
      </w:r>
      <w:r w:rsidR="00307C45">
        <w:rPr>
          <w:rStyle w:val="FootnoteReference"/>
          <w:sz w:val="22"/>
        </w:rPr>
        <w:footnoteReference w:id="15"/>
      </w:r>
    </w:p>
    <w:p w14:paraId="59D83507" w14:textId="4D699AA9" w:rsidR="0099445E" w:rsidRDefault="00E02185" w:rsidP="00EF7643">
      <w:pPr>
        <w:spacing w:after="0" w:line="240" w:lineRule="auto"/>
        <w:rPr>
          <w:sz w:val="22"/>
          <w:szCs w:val="22"/>
        </w:rPr>
      </w:pPr>
      <w:r w:rsidRPr="0096409C">
        <w:rPr>
          <w:sz w:val="22"/>
          <w:szCs w:val="22"/>
        </w:rPr>
        <w:t xml:space="preserve">The immediate future </w:t>
      </w:r>
      <w:r w:rsidR="00D52F34">
        <w:rPr>
          <w:sz w:val="22"/>
          <w:szCs w:val="22"/>
        </w:rPr>
        <w:t xml:space="preserve">for </w:t>
      </w:r>
      <w:r w:rsidR="00FA6A67">
        <w:rPr>
          <w:sz w:val="22"/>
          <w:szCs w:val="22"/>
        </w:rPr>
        <w:t xml:space="preserve">Indigenous farming </w:t>
      </w:r>
      <w:r w:rsidR="006B30B9" w:rsidRPr="0096409C">
        <w:rPr>
          <w:sz w:val="22"/>
          <w:szCs w:val="22"/>
        </w:rPr>
        <w:t>does not look good. ‘</w:t>
      </w:r>
      <w:r w:rsidR="0099445E" w:rsidRPr="0096409C">
        <w:rPr>
          <w:sz w:val="22"/>
          <w:szCs w:val="22"/>
        </w:rPr>
        <w:t xml:space="preserve">We do not have a complete picture of how many Indigenous farmers </w:t>
      </w:r>
      <w:r w:rsidR="005E15AB" w:rsidRPr="0096409C">
        <w:rPr>
          <w:sz w:val="22"/>
          <w:szCs w:val="22"/>
        </w:rPr>
        <w:t>there are</w:t>
      </w:r>
      <w:r w:rsidR="0099445E" w:rsidRPr="0096409C">
        <w:rPr>
          <w:sz w:val="22"/>
          <w:szCs w:val="22"/>
        </w:rPr>
        <w:t>,</w:t>
      </w:r>
      <w:r w:rsidR="006B30B9" w:rsidRPr="0096409C">
        <w:rPr>
          <w:sz w:val="22"/>
          <w:szCs w:val="22"/>
        </w:rPr>
        <w:t>’ writes Gilbert,</w:t>
      </w:r>
      <w:r w:rsidR="0099445E" w:rsidRPr="0096409C">
        <w:rPr>
          <w:sz w:val="22"/>
          <w:szCs w:val="22"/>
        </w:rPr>
        <w:t xml:space="preserve"> </w:t>
      </w:r>
      <w:r w:rsidR="006B30B9" w:rsidRPr="0096409C">
        <w:rPr>
          <w:sz w:val="22"/>
          <w:szCs w:val="22"/>
        </w:rPr>
        <w:t>‘</w:t>
      </w:r>
      <w:r w:rsidR="0099445E" w:rsidRPr="0096409C">
        <w:rPr>
          <w:sz w:val="22"/>
          <w:szCs w:val="22"/>
        </w:rPr>
        <w:t>where they are</w:t>
      </w:r>
      <w:r w:rsidR="00F25440">
        <w:rPr>
          <w:sz w:val="22"/>
          <w:szCs w:val="22"/>
        </w:rPr>
        <w:t xml:space="preserve"> </w:t>
      </w:r>
      <w:r w:rsidR="0099445E" w:rsidRPr="0096409C">
        <w:rPr>
          <w:sz w:val="22"/>
          <w:szCs w:val="22"/>
        </w:rPr>
        <w:t>located, what they are farming or how much they are producing</w:t>
      </w:r>
      <w:r w:rsidR="005632B4" w:rsidRPr="0096409C">
        <w:rPr>
          <w:sz w:val="22"/>
          <w:szCs w:val="22"/>
        </w:rPr>
        <w:t>’</w:t>
      </w:r>
      <w:r w:rsidR="00597B4F" w:rsidRPr="0096409C">
        <w:rPr>
          <w:sz w:val="22"/>
          <w:szCs w:val="22"/>
        </w:rPr>
        <w:t>.</w:t>
      </w:r>
      <w:r w:rsidR="00597B4F" w:rsidRPr="0096409C">
        <w:rPr>
          <w:rStyle w:val="FootnoteReference"/>
          <w:sz w:val="22"/>
          <w:szCs w:val="22"/>
        </w:rPr>
        <w:footnoteReference w:id="16"/>
      </w:r>
    </w:p>
    <w:p w14:paraId="340C182C" w14:textId="77777777" w:rsidR="00884DD3" w:rsidRPr="0096409C" w:rsidRDefault="00884DD3" w:rsidP="00EF7643">
      <w:pPr>
        <w:spacing w:after="0" w:line="240" w:lineRule="auto"/>
        <w:rPr>
          <w:sz w:val="22"/>
          <w:szCs w:val="22"/>
        </w:rPr>
      </w:pPr>
    </w:p>
    <w:p w14:paraId="56773F0F" w14:textId="4C5FC3AE" w:rsidR="0099445E" w:rsidRPr="0096409C" w:rsidRDefault="00F02000" w:rsidP="00EF7643">
      <w:pPr>
        <w:spacing w:after="0" w:line="240" w:lineRule="auto"/>
        <w:rPr>
          <w:sz w:val="22"/>
          <w:szCs w:val="22"/>
        </w:rPr>
      </w:pPr>
      <w:r w:rsidRPr="0096409C">
        <w:rPr>
          <w:sz w:val="22"/>
          <w:szCs w:val="22"/>
        </w:rPr>
        <w:lastRenderedPageBreak/>
        <w:t>The long</w:t>
      </w:r>
      <w:r w:rsidR="008438F0" w:rsidRPr="0096409C">
        <w:rPr>
          <w:sz w:val="22"/>
          <w:szCs w:val="22"/>
        </w:rPr>
        <w:t xml:space="preserve">er term future </w:t>
      </w:r>
      <w:r w:rsidR="00D4094A" w:rsidRPr="0096409C">
        <w:rPr>
          <w:sz w:val="22"/>
          <w:szCs w:val="22"/>
        </w:rPr>
        <w:t xml:space="preserve">also does not look promising. </w:t>
      </w:r>
      <w:r w:rsidR="00287343" w:rsidRPr="0096409C">
        <w:rPr>
          <w:sz w:val="22"/>
          <w:szCs w:val="22"/>
        </w:rPr>
        <w:t>Charles Sturt University in Wa</w:t>
      </w:r>
      <w:r w:rsidR="00D32A91" w:rsidRPr="0096409C">
        <w:rPr>
          <w:sz w:val="22"/>
          <w:szCs w:val="22"/>
        </w:rPr>
        <w:t>g</w:t>
      </w:r>
      <w:r w:rsidR="00287343" w:rsidRPr="0096409C">
        <w:rPr>
          <w:sz w:val="22"/>
          <w:szCs w:val="22"/>
        </w:rPr>
        <w:t>ga</w:t>
      </w:r>
      <w:r w:rsidR="00D32A91" w:rsidRPr="0096409C">
        <w:rPr>
          <w:sz w:val="22"/>
          <w:szCs w:val="22"/>
        </w:rPr>
        <w:t xml:space="preserve"> </w:t>
      </w:r>
      <w:r w:rsidR="0099445E" w:rsidRPr="0096409C">
        <w:rPr>
          <w:sz w:val="22"/>
          <w:szCs w:val="22"/>
        </w:rPr>
        <w:t xml:space="preserve">Wagga </w:t>
      </w:r>
      <w:r w:rsidR="00DB1946" w:rsidRPr="0096409C">
        <w:rPr>
          <w:sz w:val="22"/>
          <w:szCs w:val="22"/>
        </w:rPr>
        <w:t>found that</w:t>
      </w:r>
      <w:r w:rsidR="0099445E" w:rsidRPr="0096409C">
        <w:rPr>
          <w:sz w:val="22"/>
          <w:szCs w:val="22"/>
        </w:rPr>
        <w:t xml:space="preserve"> fewer than five indigenous students studying agriculture were </w:t>
      </w:r>
      <w:r w:rsidR="00712994" w:rsidRPr="0096409C">
        <w:rPr>
          <w:sz w:val="22"/>
          <w:szCs w:val="22"/>
        </w:rPr>
        <w:t>g</w:t>
      </w:r>
      <w:r w:rsidR="0099445E" w:rsidRPr="0096409C">
        <w:rPr>
          <w:sz w:val="22"/>
          <w:szCs w:val="22"/>
        </w:rPr>
        <w:t>raduating each year.</w:t>
      </w:r>
      <w:r w:rsidR="00DB1946" w:rsidRPr="0096409C">
        <w:rPr>
          <w:rStyle w:val="FootnoteReference"/>
          <w:sz w:val="22"/>
          <w:szCs w:val="22"/>
        </w:rPr>
        <w:footnoteReference w:id="17"/>
      </w:r>
      <w:r w:rsidR="0099445E" w:rsidRPr="0096409C">
        <w:rPr>
          <w:sz w:val="22"/>
          <w:szCs w:val="22"/>
        </w:rPr>
        <w:t xml:space="preserve"> </w:t>
      </w:r>
      <w:r w:rsidR="004A74F4" w:rsidRPr="0096409C">
        <w:rPr>
          <w:sz w:val="22"/>
          <w:szCs w:val="22"/>
        </w:rPr>
        <w:t>‘</w:t>
      </w:r>
      <w:r w:rsidR="0099445E" w:rsidRPr="0096409C">
        <w:rPr>
          <w:sz w:val="22"/>
          <w:szCs w:val="22"/>
        </w:rPr>
        <w:t>In New South Wales, the number of High School Indigenous students getting the marks to study agriculture at the university was declining.</w:t>
      </w:r>
      <w:r w:rsidR="00E71980" w:rsidRPr="0096409C">
        <w:rPr>
          <w:rStyle w:val="FootnoteReference"/>
          <w:sz w:val="22"/>
          <w:szCs w:val="22"/>
        </w:rPr>
        <w:footnoteReference w:id="18"/>
      </w:r>
    </w:p>
    <w:p w14:paraId="0865C6DE" w14:textId="77777777" w:rsidR="004A74F4" w:rsidRPr="0096409C" w:rsidRDefault="004A74F4" w:rsidP="00EF7643">
      <w:pPr>
        <w:spacing w:after="0" w:line="240" w:lineRule="auto"/>
        <w:rPr>
          <w:sz w:val="22"/>
          <w:szCs w:val="22"/>
        </w:rPr>
      </w:pPr>
    </w:p>
    <w:p w14:paraId="1DAAD650" w14:textId="0AA78A52" w:rsidR="00344E18" w:rsidRPr="0096409C" w:rsidRDefault="00C74FA7" w:rsidP="00EF7643">
      <w:pPr>
        <w:spacing w:after="0" w:line="240" w:lineRule="auto"/>
        <w:rPr>
          <w:b/>
          <w:bCs/>
          <w:sz w:val="22"/>
          <w:szCs w:val="22"/>
        </w:rPr>
      </w:pPr>
      <w:r w:rsidRPr="0096409C">
        <w:rPr>
          <w:sz w:val="22"/>
          <w:szCs w:val="22"/>
        </w:rPr>
        <w:t>Many o</w:t>
      </w:r>
      <w:r w:rsidR="00A3299D" w:rsidRPr="0096409C">
        <w:rPr>
          <w:sz w:val="22"/>
          <w:szCs w:val="22"/>
        </w:rPr>
        <w:t xml:space="preserve">rganisations and businesses in the bush </w:t>
      </w:r>
      <w:r w:rsidR="00D90145" w:rsidRPr="0096409C">
        <w:rPr>
          <w:sz w:val="22"/>
          <w:szCs w:val="22"/>
        </w:rPr>
        <w:t>food sector</w:t>
      </w:r>
      <w:r w:rsidR="009E52D9">
        <w:rPr>
          <w:sz w:val="22"/>
          <w:szCs w:val="22"/>
        </w:rPr>
        <w:t xml:space="preserve"> </w:t>
      </w:r>
      <w:r w:rsidR="00CD743E" w:rsidRPr="0096409C">
        <w:rPr>
          <w:sz w:val="22"/>
          <w:szCs w:val="22"/>
        </w:rPr>
        <w:t>rely on government  funding and many end up spending as  much time fighting misconceptions regarding their reliance on funds as they do on harvesting, marketing, and selling their products.</w:t>
      </w:r>
      <w:r w:rsidR="00CD743E" w:rsidRPr="0096409C">
        <w:rPr>
          <w:rStyle w:val="FootnoteReference"/>
          <w:sz w:val="22"/>
          <w:szCs w:val="22"/>
        </w:rPr>
        <w:footnoteReference w:id="19"/>
      </w:r>
    </w:p>
    <w:p w14:paraId="7501627D" w14:textId="77777777" w:rsidR="00B838A7" w:rsidRPr="0096409C" w:rsidRDefault="00B838A7" w:rsidP="00EF7643">
      <w:pPr>
        <w:spacing w:after="0" w:line="240" w:lineRule="auto"/>
        <w:rPr>
          <w:b/>
          <w:bCs/>
          <w:sz w:val="22"/>
          <w:szCs w:val="22"/>
        </w:rPr>
      </w:pPr>
    </w:p>
    <w:p w14:paraId="41173EEF" w14:textId="2413A378" w:rsidR="0068410F" w:rsidRPr="0096409C" w:rsidRDefault="0068410F" w:rsidP="00EF7643">
      <w:pPr>
        <w:spacing w:after="0" w:line="240" w:lineRule="auto"/>
        <w:rPr>
          <w:sz w:val="22"/>
          <w:szCs w:val="22"/>
        </w:rPr>
      </w:pPr>
      <w:r w:rsidRPr="0096409C">
        <w:rPr>
          <w:sz w:val="22"/>
          <w:szCs w:val="22"/>
        </w:rPr>
        <w:t xml:space="preserve">Gilbert makes </w:t>
      </w:r>
      <w:r w:rsidR="004D49B4" w:rsidRPr="0096409C">
        <w:rPr>
          <w:sz w:val="22"/>
          <w:szCs w:val="22"/>
        </w:rPr>
        <w:t>four</w:t>
      </w:r>
      <w:r w:rsidRPr="0096409C">
        <w:rPr>
          <w:sz w:val="22"/>
          <w:szCs w:val="22"/>
        </w:rPr>
        <w:t xml:space="preserve"> suggestions </w:t>
      </w:r>
      <w:r w:rsidR="00C15E6B">
        <w:rPr>
          <w:sz w:val="22"/>
          <w:szCs w:val="22"/>
        </w:rPr>
        <w:t xml:space="preserve">to redress </w:t>
      </w:r>
      <w:r w:rsidR="00F56488">
        <w:rPr>
          <w:sz w:val="22"/>
          <w:szCs w:val="22"/>
        </w:rPr>
        <w:t>what he has identified</w:t>
      </w:r>
      <w:r w:rsidR="00586115">
        <w:rPr>
          <w:sz w:val="22"/>
          <w:szCs w:val="22"/>
        </w:rPr>
        <w:t>.</w:t>
      </w:r>
    </w:p>
    <w:p w14:paraId="77E0BE06" w14:textId="77777777" w:rsidR="0068410F" w:rsidRPr="0096409C" w:rsidRDefault="0068410F" w:rsidP="00EF7643">
      <w:pPr>
        <w:spacing w:after="0" w:line="240" w:lineRule="auto"/>
        <w:rPr>
          <w:sz w:val="22"/>
          <w:szCs w:val="22"/>
        </w:rPr>
      </w:pPr>
    </w:p>
    <w:p w14:paraId="2BBE535B" w14:textId="77777777" w:rsidR="004D49B4" w:rsidRPr="00735882" w:rsidRDefault="0068410F" w:rsidP="00735882">
      <w:pPr>
        <w:pStyle w:val="ListParagraph"/>
        <w:numPr>
          <w:ilvl w:val="0"/>
          <w:numId w:val="1"/>
        </w:numPr>
        <w:spacing w:after="0" w:line="240" w:lineRule="auto"/>
        <w:rPr>
          <w:sz w:val="22"/>
          <w:szCs w:val="22"/>
        </w:rPr>
      </w:pPr>
      <w:r w:rsidRPr="00735882">
        <w:rPr>
          <w:sz w:val="22"/>
          <w:szCs w:val="22"/>
        </w:rPr>
        <w:t xml:space="preserve">First that </w:t>
      </w:r>
      <w:r w:rsidR="00096D64" w:rsidRPr="00735882">
        <w:rPr>
          <w:sz w:val="22"/>
          <w:szCs w:val="22"/>
        </w:rPr>
        <w:t xml:space="preserve">farmers </w:t>
      </w:r>
      <w:r w:rsidR="006250F8" w:rsidRPr="00735882">
        <w:rPr>
          <w:sz w:val="22"/>
          <w:szCs w:val="22"/>
        </w:rPr>
        <w:t>work with local Indigenous</w:t>
      </w:r>
      <w:r w:rsidR="00C95532" w:rsidRPr="00735882">
        <w:rPr>
          <w:sz w:val="22"/>
          <w:szCs w:val="22"/>
        </w:rPr>
        <w:t xml:space="preserve"> groups </w:t>
      </w:r>
      <w:r w:rsidR="000054FE" w:rsidRPr="00735882">
        <w:rPr>
          <w:sz w:val="22"/>
          <w:szCs w:val="22"/>
        </w:rPr>
        <w:t>to build</w:t>
      </w:r>
      <w:r w:rsidR="006250F8" w:rsidRPr="00735882">
        <w:rPr>
          <w:sz w:val="22"/>
          <w:szCs w:val="22"/>
        </w:rPr>
        <w:t xml:space="preserve"> </w:t>
      </w:r>
      <w:r w:rsidR="00FF4470" w:rsidRPr="00735882">
        <w:rPr>
          <w:sz w:val="22"/>
          <w:szCs w:val="22"/>
        </w:rPr>
        <w:t xml:space="preserve">new, sustainable practices based on Indigenous concepts and knowledge. </w:t>
      </w:r>
    </w:p>
    <w:p w14:paraId="5D245D44" w14:textId="77777777" w:rsidR="00712994" w:rsidRPr="0096409C" w:rsidRDefault="00712994" w:rsidP="00EF7643">
      <w:pPr>
        <w:spacing w:after="0" w:line="240" w:lineRule="auto"/>
        <w:rPr>
          <w:sz w:val="22"/>
          <w:szCs w:val="22"/>
        </w:rPr>
      </w:pPr>
    </w:p>
    <w:p w14:paraId="294BA1E8" w14:textId="3F909B5B" w:rsidR="002051EA" w:rsidRPr="00735882" w:rsidRDefault="008C1585" w:rsidP="00735882">
      <w:pPr>
        <w:pStyle w:val="ListParagraph"/>
        <w:numPr>
          <w:ilvl w:val="0"/>
          <w:numId w:val="1"/>
        </w:numPr>
        <w:spacing w:after="0" w:line="240" w:lineRule="auto"/>
        <w:rPr>
          <w:sz w:val="22"/>
          <w:szCs w:val="22"/>
        </w:rPr>
      </w:pPr>
      <w:r w:rsidRPr="00735882">
        <w:rPr>
          <w:sz w:val="22"/>
          <w:szCs w:val="22"/>
        </w:rPr>
        <w:t xml:space="preserve">Then that Governments can meet with Aboriginal farmers to hear what they think </w:t>
      </w:r>
      <w:r w:rsidR="00EE2F17" w:rsidRPr="00735882">
        <w:rPr>
          <w:sz w:val="22"/>
          <w:szCs w:val="22"/>
        </w:rPr>
        <w:t>will make for successful and sustainable change</w:t>
      </w:r>
      <w:r w:rsidR="002E7EA6" w:rsidRPr="00735882">
        <w:rPr>
          <w:sz w:val="22"/>
          <w:szCs w:val="22"/>
        </w:rPr>
        <w:t xml:space="preserve"> …over time, the ability of our mob to help all Australians will only deepen.</w:t>
      </w:r>
      <w:r w:rsidR="00FF4470" w:rsidRPr="0096409C">
        <w:rPr>
          <w:rStyle w:val="FootnoteReference"/>
          <w:sz w:val="22"/>
          <w:szCs w:val="22"/>
        </w:rPr>
        <w:footnoteReference w:id="20"/>
      </w:r>
      <w:r w:rsidR="00D476AF" w:rsidRPr="00735882">
        <w:rPr>
          <w:sz w:val="22"/>
          <w:szCs w:val="22"/>
        </w:rPr>
        <w:t xml:space="preserve"> </w:t>
      </w:r>
    </w:p>
    <w:p w14:paraId="3D7CB2C9" w14:textId="77777777" w:rsidR="00712994" w:rsidRPr="0096409C" w:rsidRDefault="00712994" w:rsidP="00EF7643">
      <w:pPr>
        <w:spacing w:after="0" w:line="240" w:lineRule="auto"/>
        <w:rPr>
          <w:sz w:val="22"/>
          <w:szCs w:val="22"/>
        </w:rPr>
      </w:pPr>
    </w:p>
    <w:p w14:paraId="4385C147" w14:textId="33F2447C" w:rsidR="005E2EA4" w:rsidRPr="00735882" w:rsidRDefault="00B32236" w:rsidP="00735882">
      <w:pPr>
        <w:pStyle w:val="ListParagraph"/>
        <w:numPr>
          <w:ilvl w:val="0"/>
          <w:numId w:val="1"/>
        </w:numPr>
        <w:spacing w:after="0" w:line="240" w:lineRule="auto"/>
        <w:rPr>
          <w:sz w:val="22"/>
          <w:szCs w:val="22"/>
        </w:rPr>
      </w:pPr>
      <w:r w:rsidRPr="00735882">
        <w:rPr>
          <w:sz w:val="22"/>
          <w:szCs w:val="22"/>
        </w:rPr>
        <w:t>Ther</w:t>
      </w:r>
      <w:r w:rsidR="009C7FBE" w:rsidRPr="00735882">
        <w:rPr>
          <w:sz w:val="22"/>
          <w:szCs w:val="22"/>
        </w:rPr>
        <w:t>e</w:t>
      </w:r>
      <w:r w:rsidRPr="00735882">
        <w:rPr>
          <w:sz w:val="22"/>
          <w:szCs w:val="22"/>
        </w:rPr>
        <w:t xml:space="preserve"> should be an</w:t>
      </w:r>
      <w:r w:rsidR="009C7FBE" w:rsidRPr="00735882">
        <w:rPr>
          <w:sz w:val="22"/>
          <w:szCs w:val="22"/>
        </w:rPr>
        <w:t xml:space="preserve"> agricultural</w:t>
      </w:r>
      <w:r w:rsidRPr="00735882">
        <w:rPr>
          <w:sz w:val="22"/>
          <w:szCs w:val="22"/>
        </w:rPr>
        <w:t xml:space="preserve"> research </w:t>
      </w:r>
      <w:r w:rsidR="009C7FBE" w:rsidRPr="00735882">
        <w:rPr>
          <w:sz w:val="22"/>
          <w:szCs w:val="22"/>
        </w:rPr>
        <w:t>and development corporation</w:t>
      </w:r>
      <w:r w:rsidR="005E2EA4" w:rsidRPr="00735882">
        <w:rPr>
          <w:sz w:val="22"/>
          <w:szCs w:val="22"/>
        </w:rPr>
        <w:t xml:space="preserve"> think we need to create two new agricultural groups to help unlock this potential and place Indigenous agriculture at the forefront. </w:t>
      </w:r>
      <w:r w:rsidR="00F0079A" w:rsidRPr="00735882">
        <w:rPr>
          <w:sz w:val="22"/>
          <w:szCs w:val="22"/>
        </w:rPr>
        <w:t>‘</w:t>
      </w:r>
      <w:r w:rsidR="005E2EA4" w:rsidRPr="00735882">
        <w:rPr>
          <w:sz w:val="22"/>
          <w:szCs w:val="22"/>
        </w:rPr>
        <w:t>Such an organisation would ensure more Indigenous farmers get involved and make for a more profitable Indigenous agricultural industry.</w:t>
      </w:r>
      <w:r w:rsidR="00F0079A" w:rsidRPr="00735882">
        <w:rPr>
          <w:sz w:val="22"/>
          <w:szCs w:val="22"/>
        </w:rPr>
        <w:t>’</w:t>
      </w:r>
      <w:r w:rsidR="00F0079A" w:rsidRPr="0096409C">
        <w:rPr>
          <w:rStyle w:val="FootnoteReference"/>
          <w:sz w:val="22"/>
          <w:szCs w:val="22"/>
        </w:rPr>
        <w:footnoteReference w:id="21"/>
      </w:r>
    </w:p>
    <w:p w14:paraId="7F58DEAD" w14:textId="77777777" w:rsidR="00712994" w:rsidRPr="0096409C" w:rsidRDefault="00712994" w:rsidP="00EF7643">
      <w:pPr>
        <w:spacing w:after="0" w:line="240" w:lineRule="auto"/>
        <w:rPr>
          <w:sz w:val="22"/>
          <w:szCs w:val="22"/>
        </w:rPr>
      </w:pPr>
    </w:p>
    <w:p w14:paraId="7254E106" w14:textId="03C9D194" w:rsidR="00E442D4" w:rsidRPr="008F537A" w:rsidRDefault="006753B4" w:rsidP="008F537A">
      <w:pPr>
        <w:pStyle w:val="ListParagraph"/>
        <w:numPr>
          <w:ilvl w:val="0"/>
          <w:numId w:val="1"/>
        </w:numPr>
        <w:spacing w:after="0" w:line="240" w:lineRule="auto"/>
        <w:rPr>
          <w:sz w:val="22"/>
          <w:szCs w:val="22"/>
        </w:rPr>
      </w:pPr>
      <w:r w:rsidRPr="008F537A">
        <w:rPr>
          <w:sz w:val="22"/>
          <w:szCs w:val="22"/>
        </w:rPr>
        <w:t xml:space="preserve">There also should be </w:t>
      </w:r>
      <w:r w:rsidR="002C4C3D">
        <w:rPr>
          <w:sz w:val="22"/>
          <w:szCs w:val="22"/>
        </w:rPr>
        <w:t xml:space="preserve">an </w:t>
      </w:r>
      <w:r w:rsidR="009C4FA0">
        <w:rPr>
          <w:sz w:val="22"/>
          <w:szCs w:val="22"/>
        </w:rPr>
        <w:t xml:space="preserve">organisation </w:t>
      </w:r>
      <w:r w:rsidR="00764DE5" w:rsidRPr="008F537A">
        <w:rPr>
          <w:sz w:val="22"/>
          <w:szCs w:val="22"/>
        </w:rPr>
        <w:t>to address the lack of young people in the sector an establishment that attracts mob, providing education where needed and supporting them through scholarships and other opportunities to showcase Indigenous success.</w:t>
      </w:r>
      <w:r w:rsidR="000B58C5" w:rsidRPr="0096409C">
        <w:rPr>
          <w:rStyle w:val="FootnoteReference"/>
          <w:sz w:val="22"/>
          <w:szCs w:val="22"/>
        </w:rPr>
        <w:footnoteReference w:id="22"/>
      </w:r>
    </w:p>
    <w:p w14:paraId="798331AD" w14:textId="77777777" w:rsidR="00712994" w:rsidRPr="0096409C" w:rsidRDefault="00712994" w:rsidP="00EF7643">
      <w:pPr>
        <w:spacing w:after="0" w:line="240" w:lineRule="auto"/>
        <w:rPr>
          <w:sz w:val="22"/>
          <w:szCs w:val="22"/>
        </w:rPr>
      </w:pPr>
    </w:p>
    <w:p w14:paraId="614ED700" w14:textId="13ABB15B" w:rsidR="00177D9A" w:rsidRPr="0096409C" w:rsidRDefault="007828C3" w:rsidP="00D105F7">
      <w:pPr>
        <w:spacing w:after="0" w:line="240" w:lineRule="auto"/>
        <w:ind w:left="283"/>
        <w:rPr>
          <w:sz w:val="22"/>
          <w:szCs w:val="22"/>
        </w:rPr>
      </w:pPr>
      <w:r>
        <w:rPr>
          <w:sz w:val="22"/>
          <w:szCs w:val="22"/>
        </w:rPr>
        <w:t>‘</w:t>
      </w:r>
      <w:r w:rsidR="00853350" w:rsidRPr="0096409C">
        <w:rPr>
          <w:sz w:val="22"/>
          <w:szCs w:val="22"/>
        </w:rPr>
        <w:t>I</w:t>
      </w:r>
      <w:r w:rsidR="003C357A" w:rsidRPr="0096409C">
        <w:rPr>
          <w:sz w:val="22"/>
          <w:szCs w:val="22"/>
        </w:rPr>
        <w:t xml:space="preserve"> </w:t>
      </w:r>
      <w:r w:rsidR="00853350" w:rsidRPr="0096409C">
        <w:rPr>
          <w:sz w:val="22"/>
          <w:szCs w:val="22"/>
        </w:rPr>
        <w:t>live in hope</w:t>
      </w:r>
      <w:r w:rsidR="00F62388" w:rsidRPr="0096409C">
        <w:rPr>
          <w:sz w:val="22"/>
          <w:szCs w:val="22"/>
        </w:rPr>
        <w:t>,</w:t>
      </w:r>
      <w:r>
        <w:rPr>
          <w:sz w:val="22"/>
          <w:szCs w:val="22"/>
        </w:rPr>
        <w:t>’</w:t>
      </w:r>
      <w:r w:rsidR="00F62388" w:rsidRPr="0096409C">
        <w:rPr>
          <w:sz w:val="22"/>
          <w:szCs w:val="22"/>
        </w:rPr>
        <w:t xml:space="preserve"> </w:t>
      </w:r>
      <w:r w:rsidR="00F13B1D" w:rsidRPr="0096409C">
        <w:rPr>
          <w:sz w:val="22"/>
          <w:szCs w:val="22"/>
        </w:rPr>
        <w:t>writes Gilbert, ‘</w:t>
      </w:r>
      <w:r w:rsidR="003C357A" w:rsidRPr="0096409C">
        <w:rPr>
          <w:sz w:val="22"/>
          <w:szCs w:val="22"/>
        </w:rPr>
        <w:t>that</w:t>
      </w:r>
      <w:r w:rsidR="00624E9B" w:rsidRPr="0096409C">
        <w:rPr>
          <w:sz w:val="22"/>
          <w:szCs w:val="22"/>
        </w:rPr>
        <w:t xml:space="preserve"> Indigenous farming becomes an integral part </w:t>
      </w:r>
      <w:r w:rsidR="003C357A" w:rsidRPr="0096409C">
        <w:rPr>
          <w:sz w:val="22"/>
          <w:szCs w:val="22"/>
        </w:rPr>
        <w:t>of</w:t>
      </w:r>
      <w:r w:rsidR="00624E9B" w:rsidRPr="0096409C">
        <w:rPr>
          <w:sz w:val="22"/>
          <w:szCs w:val="22"/>
        </w:rPr>
        <w:t xml:space="preserve"> our Australian </w:t>
      </w:r>
      <w:r w:rsidR="003C357A" w:rsidRPr="0096409C">
        <w:rPr>
          <w:sz w:val="22"/>
          <w:szCs w:val="22"/>
        </w:rPr>
        <w:t>agricultural identity</w:t>
      </w:r>
      <w:r w:rsidR="002B5D94" w:rsidRPr="0096409C">
        <w:rPr>
          <w:sz w:val="22"/>
          <w:szCs w:val="22"/>
        </w:rPr>
        <w:t xml:space="preserve"> drawing upon </w:t>
      </w:r>
      <w:r w:rsidR="006D7147" w:rsidRPr="0096409C">
        <w:rPr>
          <w:sz w:val="22"/>
          <w:szCs w:val="22"/>
        </w:rPr>
        <w:t xml:space="preserve">the </w:t>
      </w:r>
      <w:r w:rsidR="002B5D94" w:rsidRPr="0096409C">
        <w:rPr>
          <w:sz w:val="22"/>
          <w:szCs w:val="22"/>
        </w:rPr>
        <w:t xml:space="preserve">longstanding </w:t>
      </w:r>
      <w:r w:rsidR="00177D9A" w:rsidRPr="0096409C">
        <w:rPr>
          <w:sz w:val="22"/>
          <w:szCs w:val="22"/>
        </w:rPr>
        <w:t>histories</w:t>
      </w:r>
      <w:r w:rsidR="006D7147" w:rsidRPr="0096409C">
        <w:rPr>
          <w:sz w:val="22"/>
          <w:szCs w:val="22"/>
        </w:rPr>
        <w:t xml:space="preserve"> of mob, </w:t>
      </w:r>
      <w:r w:rsidR="00177D9A" w:rsidRPr="0096409C">
        <w:rPr>
          <w:sz w:val="22"/>
          <w:szCs w:val="22"/>
        </w:rPr>
        <w:t>understanding</w:t>
      </w:r>
      <w:r w:rsidR="006D7147" w:rsidRPr="0096409C">
        <w:rPr>
          <w:sz w:val="22"/>
          <w:szCs w:val="22"/>
        </w:rPr>
        <w:t xml:space="preserve"> the </w:t>
      </w:r>
      <w:r w:rsidR="00DE1ABB" w:rsidRPr="0096409C">
        <w:rPr>
          <w:sz w:val="22"/>
          <w:szCs w:val="22"/>
        </w:rPr>
        <w:t>c</w:t>
      </w:r>
      <w:r w:rsidR="00B629EF" w:rsidRPr="0096409C">
        <w:rPr>
          <w:sz w:val="22"/>
          <w:szCs w:val="22"/>
        </w:rPr>
        <w:t xml:space="preserve">hallenges of </w:t>
      </w:r>
      <w:r w:rsidR="00202ED7" w:rsidRPr="0096409C">
        <w:rPr>
          <w:sz w:val="22"/>
          <w:szCs w:val="22"/>
        </w:rPr>
        <w:t xml:space="preserve">the constant frontier, before </w:t>
      </w:r>
      <w:r w:rsidR="0076193A" w:rsidRPr="0096409C">
        <w:rPr>
          <w:sz w:val="22"/>
          <w:szCs w:val="22"/>
        </w:rPr>
        <w:t>gently weaving</w:t>
      </w:r>
      <w:r w:rsidR="00202ED7" w:rsidRPr="0096409C">
        <w:rPr>
          <w:sz w:val="22"/>
          <w:szCs w:val="22"/>
        </w:rPr>
        <w:t xml:space="preserve"> the </w:t>
      </w:r>
      <w:r w:rsidR="0076193A" w:rsidRPr="0096409C">
        <w:rPr>
          <w:sz w:val="22"/>
          <w:szCs w:val="22"/>
        </w:rPr>
        <w:t>threads</w:t>
      </w:r>
      <w:r w:rsidR="00202ED7" w:rsidRPr="0096409C">
        <w:rPr>
          <w:sz w:val="22"/>
          <w:szCs w:val="22"/>
        </w:rPr>
        <w:t xml:space="preserve"> from the past into a shared future where </w:t>
      </w:r>
      <w:r w:rsidR="0076193A" w:rsidRPr="0096409C">
        <w:rPr>
          <w:sz w:val="22"/>
          <w:szCs w:val="22"/>
        </w:rPr>
        <w:t>everyone</w:t>
      </w:r>
      <w:r w:rsidR="00202ED7" w:rsidRPr="0096409C">
        <w:rPr>
          <w:sz w:val="22"/>
          <w:szCs w:val="22"/>
        </w:rPr>
        <w:t xml:space="preserve"> can </w:t>
      </w:r>
      <w:r w:rsidR="0076193A" w:rsidRPr="0096409C">
        <w:rPr>
          <w:sz w:val="22"/>
          <w:szCs w:val="22"/>
        </w:rPr>
        <w:t>enjoy</w:t>
      </w:r>
      <w:r w:rsidR="00202ED7" w:rsidRPr="0096409C">
        <w:rPr>
          <w:sz w:val="22"/>
          <w:szCs w:val="22"/>
        </w:rPr>
        <w:t xml:space="preserve"> </w:t>
      </w:r>
      <w:r w:rsidR="0076193A" w:rsidRPr="0096409C">
        <w:rPr>
          <w:sz w:val="22"/>
          <w:szCs w:val="22"/>
        </w:rPr>
        <w:t>incredible food in good company.</w:t>
      </w:r>
      <w:r w:rsidR="00712994" w:rsidRPr="0096409C">
        <w:rPr>
          <w:sz w:val="22"/>
          <w:szCs w:val="22"/>
        </w:rPr>
        <w:t>’</w:t>
      </w:r>
      <w:r w:rsidR="00DB6BDC" w:rsidRPr="0096409C">
        <w:rPr>
          <w:rStyle w:val="FootnoteReference"/>
          <w:sz w:val="22"/>
          <w:szCs w:val="22"/>
        </w:rPr>
        <w:footnoteReference w:id="23"/>
      </w:r>
    </w:p>
    <w:p w14:paraId="312178F8" w14:textId="77777777" w:rsidR="00DE58D2" w:rsidRPr="0096409C" w:rsidRDefault="00DE58D2" w:rsidP="00712994">
      <w:pPr>
        <w:spacing w:after="0" w:line="240" w:lineRule="auto"/>
        <w:rPr>
          <w:sz w:val="22"/>
          <w:szCs w:val="22"/>
        </w:rPr>
      </w:pPr>
    </w:p>
    <w:p w14:paraId="36DE51D4" w14:textId="77777777" w:rsidR="00DE58D2" w:rsidRPr="0096409C" w:rsidRDefault="00DE58D2" w:rsidP="00712994">
      <w:pPr>
        <w:spacing w:after="0" w:line="240" w:lineRule="auto"/>
        <w:rPr>
          <w:sz w:val="22"/>
          <w:szCs w:val="22"/>
        </w:rPr>
      </w:pPr>
    </w:p>
    <w:sectPr w:rsidR="00DE58D2" w:rsidRPr="009640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E945" w14:textId="77777777" w:rsidR="00D1261D" w:rsidRDefault="00D1261D" w:rsidP="009362BF">
      <w:pPr>
        <w:spacing w:after="0" w:line="240" w:lineRule="auto"/>
      </w:pPr>
      <w:r>
        <w:separator/>
      </w:r>
    </w:p>
  </w:endnote>
  <w:endnote w:type="continuationSeparator" w:id="0">
    <w:p w14:paraId="5029E752" w14:textId="77777777" w:rsidR="00D1261D" w:rsidRDefault="00D1261D" w:rsidP="0093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13250"/>
      <w:docPartObj>
        <w:docPartGallery w:val="Page Numbers (Bottom of Page)"/>
        <w:docPartUnique/>
      </w:docPartObj>
    </w:sdtPr>
    <w:sdtEndPr>
      <w:rPr>
        <w:noProof/>
      </w:rPr>
    </w:sdtEndPr>
    <w:sdtContent>
      <w:p w14:paraId="6C65446C" w14:textId="614055D9" w:rsidR="000152DB" w:rsidRDefault="00015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4A041" w14:textId="77777777" w:rsidR="000152DB" w:rsidRDefault="0001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0E79" w14:textId="77777777" w:rsidR="00D1261D" w:rsidRDefault="00D1261D" w:rsidP="009362BF">
      <w:pPr>
        <w:spacing w:after="0" w:line="240" w:lineRule="auto"/>
      </w:pPr>
      <w:r>
        <w:separator/>
      </w:r>
    </w:p>
  </w:footnote>
  <w:footnote w:type="continuationSeparator" w:id="0">
    <w:p w14:paraId="2911C397" w14:textId="77777777" w:rsidR="00D1261D" w:rsidRDefault="00D1261D" w:rsidP="009362BF">
      <w:pPr>
        <w:spacing w:after="0" w:line="240" w:lineRule="auto"/>
      </w:pPr>
      <w:r>
        <w:continuationSeparator/>
      </w:r>
    </w:p>
  </w:footnote>
  <w:footnote w:id="1">
    <w:p w14:paraId="4A5FDA51" w14:textId="04DAF7B8" w:rsidR="0095787C" w:rsidRDefault="0095787C">
      <w:pPr>
        <w:pStyle w:val="FootnoteText"/>
      </w:pPr>
      <w:r>
        <w:rPr>
          <w:rStyle w:val="FootnoteReference"/>
        </w:rPr>
        <w:footnoteRef/>
      </w:r>
      <w:r>
        <w:t xml:space="preserve"> </w:t>
      </w:r>
      <w:r w:rsidRPr="0095787C">
        <w:t xml:space="preserve">Gilbert, Joshua, </w:t>
      </w:r>
      <w:r w:rsidRPr="0095787C">
        <w:rPr>
          <w:i/>
          <w:iCs/>
        </w:rPr>
        <w:t xml:space="preserve">Australia’s Agricultural Identity </w:t>
      </w:r>
      <w:r w:rsidRPr="0095787C">
        <w:t>Penguin</w:t>
      </w:r>
      <w:r w:rsidRPr="0095787C">
        <w:rPr>
          <w:i/>
          <w:iCs/>
        </w:rPr>
        <w:t xml:space="preserve"> </w:t>
      </w:r>
      <w:r w:rsidRPr="0095787C">
        <w:t>2025…p.45</w:t>
      </w:r>
    </w:p>
  </w:footnote>
  <w:footnote w:id="2">
    <w:p w14:paraId="4D89D8EE" w14:textId="2D693F35" w:rsidR="009362BF" w:rsidRDefault="009362BF">
      <w:pPr>
        <w:pStyle w:val="FootnoteText"/>
        <w:contextualSpacing/>
      </w:pPr>
      <w:r>
        <w:rPr>
          <w:rStyle w:val="FootnoteReference"/>
        </w:rPr>
        <w:footnoteRef/>
      </w:r>
      <w:r>
        <w:t xml:space="preserve"> Van Reyk, Paul</w:t>
      </w:r>
      <w:r w:rsidR="00DA4C9B">
        <w:t xml:space="preserve">, </w:t>
      </w:r>
      <w:r w:rsidRPr="001E3669">
        <w:rPr>
          <w:i/>
          <w:iCs/>
        </w:rPr>
        <w:t>True To The Land A history of food in Australia</w:t>
      </w:r>
      <w:r w:rsidR="00DA4C9B">
        <w:t xml:space="preserve"> </w:t>
      </w:r>
      <w:proofErr w:type="spellStart"/>
      <w:r w:rsidR="00DA4C9B">
        <w:t>Reaktion</w:t>
      </w:r>
      <w:proofErr w:type="spellEnd"/>
      <w:r w:rsidR="00DA4C9B">
        <w:t xml:space="preserve"> 2021</w:t>
      </w:r>
    </w:p>
  </w:footnote>
  <w:footnote w:id="3">
    <w:p w14:paraId="6089E928" w14:textId="013D2358" w:rsidR="00F3462B" w:rsidRDefault="00F3462B" w:rsidP="00E35E3C">
      <w:pPr>
        <w:spacing w:after="0" w:line="240" w:lineRule="auto"/>
      </w:pPr>
      <w:r>
        <w:rPr>
          <w:rStyle w:val="FootnoteReference"/>
        </w:rPr>
        <w:footnoteRef/>
      </w:r>
      <w:r>
        <w:t xml:space="preserve"> </w:t>
      </w:r>
      <w:r w:rsidRPr="00F3462B">
        <w:rPr>
          <w:sz w:val="20"/>
          <w:szCs w:val="20"/>
        </w:rPr>
        <w:t>I covered food of the First Nation pre colonisation, the impact of coloni</w:t>
      </w:r>
      <w:r w:rsidR="00061DCE">
        <w:rPr>
          <w:sz w:val="20"/>
          <w:szCs w:val="20"/>
        </w:rPr>
        <w:t xml:space="preserve">sation , </w:t>
      </w:r>
      <w:r w:rsidRPr="00F3462B">
        <w:rPr>
          <w:sz w:val="20"/>
          <w:szCs w:val="20"/>
        </w:rPr>
        <w:t xml:space="preserve">the Aboriginal Missions, </w:t>
      </w:r>
      <w:r w:rsidR="00A71444">
        <w:rPr>
          <w:sz w:val="20"/>
          <w:szCs w:val="20"/>
        </w:rPr>
        <w:t>Aboriginals girls in domestic service, stockmen</w:t>
      </w:r>
      <w:r w:rsidR="001768AF">
        <w:rPr>
          <w:sz w:val="20"/>
          <w:szCs w:val="20"/>
        </w:rPr>
        <w:t xml:space="preserve"> and </w:t>
      </w:r>
      <w:r w:rsidR="00A71444">
        <w:rPr>
          <w:sz w:val="20"/>
          <w:szCs w:val="20"/>
        </w:rPr>
        <w:t xml:space="preserve"> </w:t>
      </w:r>
      <w:r w:rsidRPr="00F3462B">
        <w:rPr>
          <w:sz w:val="20"/>
          <w:szCs w:val="20"/>
        </w:rPr>
        <w:t xml:space="preserve">the Wave Hill walk off, the successful Mabo decision on land rights, Closing the Gap and its goal on Aboriginal health, and the bush food industry. </w:t>
      </w:r>
    </w:p>
  </w:footnote>
  <w:footnote w:id="4">
    <w:p w14:paraId="5D781441" w14:textId="46015E80" w:rsidR="001B4745" w:rsidRDefault="001B4745">
      <w:pPr>
        <w:pStyle w:val="FootnoteText"/>
      </w:pPr>
      <w:r>
        <w:rPr>
          <w:rStyle w:val="FootnoteReference"/>
        </w:rPr>
        <w:footnoteRef/>
      </w:r>
      <w:r>
        <w:t xml:space="preserve"> </w:t>
      </w:r>
      <w:r w:rsidR="00A80EC9" w:rsidRPr="00E35E3C">
        <w:t>Gilber</w:t>
      </w:r>
      <w:r w:rsidR="00835196">
        <w:t xml:space="preserve">t </w:t>
      </w:r>
      <w:r w:rsidR="00A80EC9">
        <w:t>2025…p.4</w:t>
      </w:r>
      <w:r w:rsidR="003A3210">
        <w:t>5</w:t>
      </w:r>
    </w:p>
  </w:footnote>
  <w:footnote w:id="5">
    <w:p w14:paraId="0CA6F08F" w14:textId="1000FEF1" w:rsidR="002D68D9" w:rsidRDefault="002D68D9">
      <w:pPr>
        <w:pStyle w:val="FootnoteText"/>
      </w:pPr>
      <w:r>
        <w:rPr>
          <w:rStyle w:val="FootnoteReference"/>
        </w:rPr>
        <w:footnoteRef/>
      </w:r>
      <w:r>
        <w:t xml:space="preserve"> </w:t>
      </w:r>
      <w:r w:rsidR="00CC3EBA">
        <w:t>P</w:t>
      </w:r>
      <w:r>
        <w:t xml:space="preserve">ascoe, Bruce, </w:t>
      </w:r>
      <w:r w:rsidR="00CC3EBA" w:rsidRPr="00CC3EBA">
        <w:rPr>
          <w:i/>
          <w:iCs/>
        </w:rPr>
        <w:t>Black Emu</w:t>
      </w:r>
    </w:p>
  </w:footnote>
  <w:footnote w:id="6">
    <w:p w14:paraId="55D6436F" w14:textId="35C8A755" w:rsidR="000D7D31" w:rsidRDefault="000D7D31" w:rsidP="000D7D31">
      <w:pPr>
        <w:pStyle w:val="FootnoteText"/>
      </w:pPr>
      <w:r>
        <w:rPr>
          <w:rStyle w:val="FootnoteReference"/>
        </w:rPr>
        <w:footnoteRef/>
      </w:r>
      <w:r>
        <w:t xml:space="preserve"> </w:t>
      </w:r>
      <w:bookmarkStart w:id="0" w:name="_Hlk200959229"/>
      <w:r w:rsidRPr="00E35E3C">
        <w:t>Gilbert</w:t>
      </w:r>
      <w:r w:rsidR="007A7095">
        <w:t xml:space="preserve"> </w:t>
      </w:r>
      <w:r w:rsidR="003A3210">
        <w:t xml:space="preserve">2025 … p.48 </w:t>
      </w:r>
      <w:bookmarkEnd w:id="0"/>
    </w:p>
  </w:footnote>
  <w:footnote w:id="7">
    <w:p w14:paraId="44E47D85" w14:textId="77777777" w:rsidR="00765C3A" w:rsidRDefault="00765C3A" w:rsidP="00765C3A">
      <w:pPr>
        <w:pStyle w:val="FootnoteText"/>
      </w:pPr>
      <w:r>
        <w:rPr>
          <w:rStyle w:val="FootnoteReference"/>
        </w:rPr>
        <w:footnoteRef/>
      </w:r>
      <w:r>
        <w:t xml:space="preserve"> </w:t>
      </w:r>
      <w:r w:rsidRPr="00E35E3C">
        <w:t>Gilbert</w:t>
      </w:r>
      <w:r>
        <w:t xml:space="preserve"> 2025…p.246</w:t>
      </w:r>
    </w:p>
  </w:footnote>
  <w:footnote w:id="8">
    <w:p w14:paraId="14965A5E" w14:textId="77777777" w:rsidR="008F59E3" w:rsidRDefault="008F59E3" w:rsidP="008F59E3">
      <w:pPr>
        <w:pStyle w:val="FootnoteText"/>
      </w:pPr>
      <w:r>
        <w:rPr>
          <w:rStyle w:val="FootnoteReference"/>
        </w:rPr>
        <w:footnoteRef/>
      </w:r>
      <w:r>
        <w:t xml:space="preserve"> </w:t>
      </w:r>
      <w:r w:rsidRPr="00E35E3C">
        <w:t>Gilbert</w:t>
      </w:r>
      <w:r>
        <w:t xml:space="preserve"> 2025…p.48</w:t>
      </w:r>
    </w:p>
  </w:footnote>
  <w:footnote w:id="9">
    <w:p w14:paraId="1EEDD060" w14:textId="5AE221C4" w:rsidR="006A155C" w:rsidRDefault="006A155C">
      <w:pPr>
        <w:pStyle w:val="FootnoteText"/>
      </w:pPr>
      <w:r>
        <w:rPr>
          <w:rStyle w:val="FootnoteReference"/>
        </w:rPr>
        <w:footnoteRef/>
      </w:r>
      <w:r>
        <w:t xml:space="preserve"> </w:t>
      </w:r>
      <w:r w:rsidRPr="00E35E3C">
        <w:t>Gilbert</w:t>
      </w:r>
      <w:r>
        <w:t xml:space="preserve"> 2025…p.</w:t>
      </w:r>
      <w:r w:rsidR="00ED6B8D">
        <w:t>80 - 81</w:t>
      </w:r>
    </w:p>
  </w:footnote>
  <w:footnote w:id="10">
    <w:p w14:paraId="6203A356" w14:textId="7DCBF757" w:rsidR="004574E2" w:rsidRDefault="004574E2">
      <w:pPr>
        <w:pStyle w:val="FootnoteText"/>
      </w:pPr>
      <w:r>
        <w:rPr>
          <w:rStyle w:val="FootnoteReference"/>
        </w:rPr>
        <w:footnoteRef/>
      </w:r>
      <w:r>
        <w:t xml:space="preserve"> </w:t>
      </w:r>
      <w:r w:rsidR="00C37B2B" w:rsidRPr="00E35E3C">
        <w:t>Gilbert</w:t>
      </w:r>
      <w:r w:rsidR="00C37B2B">
        <w:t xml:space="preserve"> 2025…p.81</w:t>
      </w:r>
    </w:p>
  </w:footnote>
  <w:footnote w:id="11">
    <w:p w14:paraId="2C51AD15" w14:textId="0246ABCA" w:rsidR="00744582" w:rsidRDefault="00744582">
      <w:pPr>
        <w:pStyle w:val="FootnoteText"/>
      </w:pPr>
      <w:r>
        <w:rPr>
          <w:rStyle w:val="FootnoteReference"/>
        </w:rPr>
        <w:footnoteRef/>
      </w:r>
      <w:r>
        <w:t xml:space="preserve"> </w:t>
      </w:r>
      <w:r w:rsidR="00CD4854" w:rsidRPr="00E35E3C">
        <w:t>Gilbert</w:t>
      </w:r>
      <w:r w:rsidR="00CD4854">
        <w:t xml:space="preserve"> 2025…p.</w:t>
      </w:r>
      <w:r w:rsidR="00744AD6">
        <w:t>232</w:t>
      </w:r>
    </w:p>
  </w:footnote>
  <w:footnote w:id="12">
    <w:p w14:paraId="4FC63E80" w14:textId="77777777" w:rsidR="0005736C" w:rsidRDefault="0005736C" w:rsidP="00BB624F">
      <w:pPr>
        <w:pStyle w:val="FootnoteText"/>
      </w:pPr>
      <w:r>
        <w:rPr>
          <w:rStyle w:val="FootnoteReference"/>
        </w:rPr>
        <w:footnoteRef/>
      </w:r>
      <w:r>
        <w:t xml:space="preserve"> </w:t>
      </w:r>
      <w:bookmarkStart w:id="1" w:name="_Hlk200897843"/>
      <w:r w:rsidRPr="00E35E3C">
        <w:t>Gilbert</w:t>
      </w:r>
      <w:r>
        <w:t xml:space="preserve"> 2025…p.60</w:t>
      </w:r>
      <w:bookmarkEnd w:id="1"/>
    </w:p>
  </w:footnote>
  <w:footnote w:id="13">
    <w:p w14:paraId="3E4811EF" w14:textId="7420782E" w:rsidR="008F2D70" w:rsidRDefault="008F2D70" w:rsidP="00BB624F">
      <w:pPr>
        <w:spacing w:after="0" w:line="240" w:lineRule="auto"/>
        <w:contextualSpacing/>
      </w:pPr>
      <w:r>
        <w:rPr>
          <w:rStyle w:val="FootnoteReference"/>
        </w:rPr>
        <w:footnoteRef/>
      </w:r>
      <w:r>
        <w:t xml:space="preserve"> </w:t>
      </w:r>
      <w:r w:rsidRPr="00E35E3C">
        <w:rPr>
          <w:sz w:val="20"/>
          <w:szCs w:val="20"/>
        </w:rPr>
        <w:t>Gilbert</w:t>
      </w:r>
      <w:r w:rsidR="00E52C9E">
        <w:rPr>
          <w:sz w:val="20"/>
          <w:szCs w:val="20"/>
        </w:rPr>
        <w:t xml:space="preserve"> 2025…</w:t>
      </w:r>
      <w:r w:rsidRPr="00E35E3C">
        <w:rPr>
          <w:sz w:val="20"/>
          <w:szCs w:val="20"/>
        </w:rPr>
        <w:t>p.</w:t>
      </w:r>
      <w:r w:rsidR="00E52C9E">
        <w:rPr>
          <w:sz w:val="20"/>
          <w:szCs w:val="20"/>
        </w:rPr>
        <w:t>45</w:t>
      </w:r>
      <w:r w:rsidR="00E52C9E" w:rsidRPr="00E52C9E">
        <w:rPr>
          <w:sz w:val="20"/>
          <w:szCs w:val="20"/>
        </w:rPr>
        <w:t xml:space="preserve"> </w:t>
      </w:r>
    </w:p>
  </w:footnote>
  <w:footnote w:id="14">
    <w:p w14:paraId="067FB4C5" w14:textId="2F628108" w:rsidR="00F47E1A" w:rsidRDefault="00F47E1A">
      <w:pPr>
        <w:pStyle w:val="FootnoteText"/>
      </w:pPr>
      <w:r>
        <w:rPr>
          <w:rStyle w:val="FootnoteReference"/>
        </w:rPr>
        <w:footnoteRef/>
      </w:r>
      <w:r>
        <w:t xml:space="preserve"> </w:t>
      </w:r>
      <w:r w:rsidR="00A84D20" w:rsidRPr="00E35E3C">
        <w:t>Gilbert</w:t>
      </w:r>
      <w:r w:rsidR="00A84D20">
        <w:t xml:space="preserve"> 2025…p.230</w:t>
      </w:r>
      <w:r w:rsidR="00AF1809">
        <w:t xml:space="preserve">. </w:t>
      </w:r>
      <w:r w:rsidR="00D54477">
        <w:t>This should be more than one line describing a dish.</w:t>
      </w:r>
    </w:p>
  </w:footnote>
  <w:footnote w:id="15">
    <w:p w14:paraId="237CFD7C" w14:textId="23B8DF6E" w:rsidR="00307C45" w:rsidRDefault="00307C45">
      <w:pPr>
        <w:pStyle w:val="FootnoteText"/>
      </w:pPr>
      <w:r>
        <w:rPr>
          <w:rStyle w:val="FootnoteReference"/>
        </w:rPr>
        <w:footnoteRef/>
      </w:r>
      <w:r>
        <w:t xml:space="preserve"> </w:t>
      </w:r>
      <w:r w:rsidR="00724100" w:rsidRPr="00E35E3C">
        <w:t>Gilbert</w:t>
      </w:r>
      <w:r w:rsidR="00724100">
        <w:t xml:space="preserve"> 2025…</w:t>
      </w:r>
      <w:r w:rsidR="00724100" w:rsidRPr="00E35E3C">
        <w:t>p.</w:t>
      </w:r>
      <w:r w:rsidR="00D52F34">
        <w:t>233</w:t>
      </w:r>
    </w:p>
  </w:footnote>
  <w:footnote w:id="16">
    <w:p w14:paraId="3C1FC4D9" w14:textId="05DC8792" w:rsidR="00597B4F" w:rsidRDefault="00597B4F">
      <w:pPr>
        <w:pStyle w:val="FootnoteText"/>
      </w:pPr>
      <w:r>
        <w:rPr>
          <w:rStyle w:val="FootnoteReference"/>
        </w:rPr>
        <w:footnoteRef/>
      </w:r>
      <w:r>
        <w:t xml:space="preserve"> </w:t>
      </w:r>
      <w:bookmarkStart w:id="2" w:name="_Hlk200904280"/>
      <w:r w:rsidRPr="00E35E3C">
        <w:t>Gilbert</w:t>
      </w:r>
      <w:r>
        <w:t xml:space="preserve"> 2025…p.</w:t>
      </w:r>
      <w:r w:rsidR="00E71980">
        <w:t>250</w:t>
      </w:r>
      <w:bookmarkEnd w:id="2"/>
    </w:p>
  </w:footnote>
  <w:footnote w:id="17">
    <w:p w14:paraId="72767923" w14:textId="723260B2" w:rsidR="00DB1946" w:rsidRDefault="00DB1946">
      <w:pPr>
        <w:pStyle w:val="FootnoteText"/>
      </w:pPr>
      <w:r>
        <w:rPr>
          <w:rStyle w:val="FootnoteReference"/>
        </w:rPr>
        <w:footnoteRef/>
      </w:r>
      <w:r>
        <w:t xml:space="preserve"> </w:t>
      </w:r>
      <w:r w:rsidR="001D7AA0" w:rsidRPr="00E35E3C">
        <w:t>Gilbert</w:t>
      </w:r>
      <w:r w:rsidR="001D7AA0">
        <w:t xml:space="preserve"> 2025…p.250</w:t>
      </w:r>
    </w:p>
  </w:footnote>
  <w:footnote w:id="18">
    <w:p w14:paraId="3E5C1B63" w14:textId="13FF14DE" w:rsidR="00E71980" w:rsidRDefault="00E71980">
      <w:pPr>
        <w:pStyle w:val="FootnoteText"/>
      </w:pPr>
      <w:r>
        <w:rPr>
          <w:rStyle w:val="FootnoteReference"/>
        </w:rPr>
        <w:footnoteRef/>
      </w:r>
      <w:r>
        <w:t xml:space="preserve"> </w:t>
      </w:r>
      <w:bookmarkStart w:id="3" w:name="_Hlk200904308"/>
      <w:r w:rsidRPr="00E35E3C">
        <w:t>Gilbert</w:t>
      </w:r>
      <w:r>
        <w:t xml:space="preserve"> 2025…p.250</w:t>
      </w:r>
      <w:bookmarkEnd w:id="3"/>
    </w:p>
  </w:footnote>
  <w:footnote w:id="19">
    <w:p w14:paraId="379CBE5E" w14:textId="77777777" w:rsidR="00CD743E" w:rsidRDefault="00CD743E" w:rsidP="00CD743E">
      <w:pPr>
        <w:pStyle w:val="FootnoteText"/>
      </w:pPr>
      <w:r>
        <w:rPr>
          <w:rStyle w:val="FootnoteReference"/>
        </w:rPr>
        <w:footnoteRef/>
      </w:r>
      <w:r>
        <w:t xml:space="preserve"> </w:t>
      </w:r>
      <w:r w:rsidRPr="00E35E3C">
        <w:t>Gilbert</w:t>
      </w:r>
      <w:r>
        <w:t xml:space="preserve"> 2025…p.252</w:t>
      </w:r>
    </w:p>
  </w:footnote>
  <w:footnote w:id="20">
    <w:p w14:paraId="04315896" w14:textId="794DA788" w:rsidR="00FF4470" w:rsidRDefault="00FF4470">
      <w:pPr>
        <w:pStyle w:val="FootnoteText"/>
      </w:pPr>
      <w:r>
        <w:rPr>
          <w:rStyle w:val="FootnoteReference"/>
        </w:rPr>
        <w:footnoteRef/>
      </w:r>
      <w:r>
        <w:t xml:space="preserve"> </w:t>
      </w:r>
      <w:bookmarkStart w:id="4" w:name="_Hlk200885296"/>
      <w:r>
        <w:t>Gilbert Kevin</w:t>
      </w:r>
      <w:r w:rsidR="00B07598">
        <w:t xml:space="preserve"> … p.</w:t>
      </w:r>
      <w:r w:rsidR="008B7D7B">
        <w:t>48</w:t>
      </w:r>
      <w:bookmarkEnd w:id="4"/>
    </w:p>
  </w:footnote>
  <w:footnote w:id="21">
    <w:p w14:paraId="703A1D30" w14:textId="3BE3F6F5" w:rsidR="00F0079A" w:rsidRDefault="00F0079A">
      <w:pPr>
        <w:pStyle w:val="FootnoteText"/>
      </w:pPr>
      <w:r>
        <w:rPr>
          <w:rStyle w:val="FootnoteReference"/>
        </w:rPr>
        <w:footnoteRef/>
      </w:r>
      <w:r>
        <w:t xml:space="preserve"> Gilbert Kevin … p.</w:t>
      </w:r>
      <w:r w:rsidR="00074C66">
        <w:t>255</w:t>
      </w:r>
    </w:p>
  </w:footnote>
  <w:footnote w:id="22">
    <w:p w14:paraId="41698BB5" w14:textId="7124910E" w:rsidR="000B58C5" w:rsidRDefault="000B58C5">
      <w:pPr>
        <w:pStyle w:val="FootnoteText"/>
      </w:pPr>
      <w:r>
        <w:rPr>
          <w:rStyle w:val="FootnoteReference"/>
        </w:rPr>
        <w:footnoteRef/>
      </w:r>
      <w:r>
        <w:t xml:space="preserve"> Gilbert Kevin … p.255</w:t>
      </w:r>
    </w:p>
  </w:footnote>
  <w:footnote w:id="23">
    <w:p w14:paraId="3804A3AA" w14:textId="766BA5D1" w:rsidR="00DB6BDC" w:rsidRDefault="00DB6BDC">
      <w:pPr>
        <w:pStyle w:val="FootnoteText"/>
      </w:pPr>
      <w:r>
        <w:rPr>
          <w:rStyle w:val="FootnoteReference"/>
        </w:rPr>
        <w:footnoteRef/>
      </w:r>
      <w:r>
        <w:t xml:space="preserve"> Gilbert Kevin … p.</w:t>
      </w:r>
      <w:r w:rsidR="005F1BC0">
        <w:t>256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ED9"/>
    <w:multiLevelType w:val="hybridMultilevel"/>
    <w:tmpl w:val="7298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286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7"/>
    <w:rsid w:val="000054FE"/>
    <w:rsid w:val="0000763B"/>
    <w:rsid w:val="00015165"/>
    <w:rsid w:val="000152DB"/>
    <w:rsid w:val="000202B3"/>
    <w:rsid w:val="00022E36"/>
    <w:rsid w:val="00023B18"/>
    <w:rsid w:val="000250CF"/>
    <w:rsid w:val="00026837"/>
    <w:rsid w:val="00033A1D"/>
    <w:rsid w:val="000408C1"/>
    <w:rsid w:val="00043628"/>
    <w:rsid w:val="00044B86"/>
    <w:rsid w:val="00050CED"/>
    <w:rsid w:val="000511BA"/>
    <w:rsid w:val="00056EF3"/>
    <w:rsid w:val="0005736C"/>
    <w:rsid w:val="0005770F"/>
    <w:rsid w:val="0006070D"/>
    <w:rsid w:val="00061DCE"/>
    <w:rsid w:val="0006354E"/>
    <w:rsid w:val="0006525F"/>
    <w:rsid w:val="000658AD"/>
    <w:rsid w:val="000718FA"/>
    <w:rsid w:val="00073360"/>
    <w:rsid w:val="00074C66"/>
    <w:rsid w:val="00075099"/>
    <w:rsid w:val="0009057B"/>
    <w:rsid w:val="000914D7"/>
    <w:rsid w:val="00094648"/>
    <w:rsid w:val="00096D64"/>
    <w:rsid w:val="000B58C5"/>
    <w:rsid w:val="000C1206"/>
    <w:rsid w:val="000C4480"/>
    <w:rsid w:val="000C72DF"/>
    <w:rsid w:val="000D1D51"/>
    <w:rsid w:val="000D2834"/>
    <w:rsid w:val="000D48B6"/>
    <w:rsid w:val="000D711D"/>
    <w:rsid w:val="000D7D31"/>
    <w:rsid w:val="000E367C"/>
    <w:rsid w:val="000E61A7"/>
    <w:rsid w:val="000F0383"/>
    <w:rsid w:val="000F0A8F"/>
    <w:rsid w:val="000F1D84"/>
    <w:rsid w:val="000F4925"/>
    <w:rsid w:val="000F5E84"/>
    <w:rsid w:val="000F70D2"/>
    <w:rsid w:val="00104C52"/>
    <w:rsid w:val="00106702"/>
    <w:rsid w:val="00117B25"/>
    <w:rsid w:val="00117E37"/>
    <w:rsid w:val="00120E90"/>
    <w:rsid w:val="00123635"/>
    <w:rsid w:val="0013353B"/>
    <w:rsid w:val="00136D2D"/>
    <w:rsid w:val="001502CA"/>
    <w:rsid w:val="001522AF"/>
    <w:rsid w:val="0015399A"/>
    <w:rsid w:val="001553F5"/>
    <w:rsid w:val="001600B2"/>
    <w:rsid w:val="00161DBE"/>
    <w:rsid w:val="00165F49"/>
    <w:rsid w:val="00166AC9"/>
    <w:rsid w:val="00167201"/>
    <w:rsid w:val="0017632D"/>
    <w:rsid w:val="001767E9"/>
    <w:rsid w:val="001768AF"/>
    <w:rsid w:val="00177D9A"/>
    <w:rsid w:val="001805FD"/>
    <w:rsid w:val="001917A5"/>
    <w:rsid w:val="001A048A"/>
    <w:rsid w:val="001B3DE7"/>
    <w:rsid w:val="001B4745"/>
    <w:rsid w:val="001C2C05"/>
    <w:rsid w:val="001D0347"/>
    <w:rsid w:val="001D0E7E"/>
    <w:rsid w:val="001D65EB"/>
    <w:rsid w:val="001D7AA0"/>
    <w:rsid w:val="001E07AD"/>
    <w:rsid w:val="001E0FD6"/>
    <w:rsid w:val="001E3669"/>
    <w:rsid w:val="001E3E75"/>
    <w:rsid w:val="001E7977"/>
    <w:rsid w:val="00202ED7"/>
    <w:rsid w:val="0020342A"/>
    <w:rsid w:val="00204490"/>
    <w:rsid w:val="002051EA"/>
    <w:rsid w:val="00220194"/>
    <w:rsid w:val="00221DCC"/>
    <w:rsid w:val="002277AC"/>
    <w:rsid w:val="002429D0"/>
    <w:rsid w:val="00242CC8"/>
    <w:rsid w:val="002430EA"/>
    <w:rsid w:val="00247A7D"/>
    <w:rsid w:val="00275DD2"/>
    <w:rsid w:val="0027614C"/>
    <w:rsid w:val="002805AE"/>
    <w:rsid w:val="00280957"/>
    <w:rsid w:val="00282608"/>
    <w:rsid w:val="00283110"/>
    <w:rsid w:val="00284CC1"/>
    <w:rsid w:val="00286A37"/>
    <w:rsid w:val="00287343"/>
    <w:rsid w:val="00291271"/>
    <w:rsid w:val="002A3AD7"/>
    <w:rsid w:val="002B030A"/>
    <w:rsid w:val="002B55D0"/>
    <w:rsid w:val="002B5D94"/>
    <w:rsid w:val="002C4C3D"/>
    <w:rsid w:val="002C59A5"/>
    <w:rsid w:val="002D62AC"/>
    <w:rsid w:val="002D68D9"/>
    <w:rsid w:val="002E07D0"/>
    <w:rsid w:val="002E165A"/>
    <w:rsid w:val="002E7EA6"/>
    <w:rsid w:val="002F3C65"/>
    <w:rsid w:val="003042B4"/>
    <w:rsid w:val="00306130"/>
    <w:rsid w:val="00307C45"/>
    <w:rsid w:val="00312361"/>
    <w:rsid w:val="003134C2"/>
    <w:rsid w:val="0031636B"/>
    <w:rsid w:val="00317D79"/>
    <w:rsid w:val="003208CA"/>
    <w:rsid w:val="00322AA9"/>
    <w:rsid w:val="00325612"/>
    <w:rsid w:val="00326F61"/>
    <w:rsid w:val="00340351"/>
    <w:rsid w:val="0034486D"/>
    <w:rsid w:val="00344E18"/>
    <w:rsid w:val="003478B0"/>
    <w:rsid w:val="003502CF"/>
    <w:rsid w:val="003517FF"/>
    <w:rsid w:val="00352EF2"/>
    <w:rsid w:val="00353CB0"/>
    <w:rsid w:val="00357158"/>
    <w:rsid w:val="00357924"/>
    <w:rsid w:val="0036645F"/>
    <w:rsid w:val="0037365D"/>
    <w:rsid w:val="00375C1E"/>
    <w:rsid w:val="00377576"/>
    <w:rsid w:val="00385631"/>
    <w:rsid w:val="00387230"/>
    <w:rsid w:val="003932A2"/>
    <w:rsid w:val="003946F6"/>
    <w:rsid w:val="0039472F"/>
    <w:rsid w:val="00396A67"/>
    <w:rsid w:val="003A1471"/>
    <w:rsid w:val="003A3210"/>
    <w:rsid w:val="003C1CB8"/>
    <w:rsid w:val="003C357A"/>
    <w:rsid w:val="003C52AD"/>
    <w:rsid w:val="003C6BCB"/>
    <w:rsid w:val="003E1841"/>
    <w:rsid w:val="003E4777"/>
    <w:rsid w:val="003F6812"/>
    <w:rsid w:val="00400251"/>
    <w:rsid w:val="00400C9E"/>
    <w:rsid w:val="004066A8"/>
    <w:rsid w:val="0040670F"/>
    <w:rsid w:val="00407C1B"/>
    <w:rsid w:val="00411EE5"/>
    <w:rsid w:val="0041371A"/>
    <w:rsid w:val="00414D10"/>
    <w:rsid w:val="00417572"/>
    <w:rsid w:val="00417765"/>
    <w:rsid w:val="0042655E"/>
    <w:rsid w:val="004303A1"/>
    <w:rsid w:val="00434BFE"/>
    <w:rsid w:val="00436794"/>
    <w:rsid w:val="00437492"/>
    <w:rsid w:val="00437F52"/>
    <w:rsid w:val="0044584A"/>
    <w:rsid w:val="00446957"/>
    <w:rsid w:val="00447523"/>
    <w:rsid w:val="00447834"/>
    <w:rsid w:val="00452B76"/>
    <w:rsid w:val="004531B8"/>
    <w:rsid w:val="00455563"/>
    <w:rsid w:val="0045606F"/>
    <w:rsid w:val="00456A7C"/>
    <w:rsid w:val="004574E2"/>
    <w:rsid w:val="004640E6"/>
    <w:rsid w:val="00464C5B"/>
    <w:rsid w:val="00467809"/>
    <w:rsid w:val="00473336"/>
    <w:rsid w:val="004772D6"/>
    <w:rsid w:val="00481C02"/>
    <w:rsid w:val="0048296C"/>
    <w:rsid w:val="0048477F"/>
    <w:rsid w:val="00486E25"/>
    <w:rsid w:val="00496C8C"/>
    <w:rsid w:val="004A74F4"/>
    <w:rsid w:val="004B2E79"/>
    <w:rsid w:val="004B4829"/>
    <w:rsid w:val="004B658F"/>
    <w:rsid w:val="004B6C2E"/>
    <w:rsid w:val="004C4702"/>
    <w:rsid w:val="004C5713"/>
    <w:rsid w:val="004D0912"/>
    <w:rsid w:val="004D1155"/>
    <w:rsid w:val="004D49B4"/>
    <w:rsid w:val="004D6190"/>
    <w:rsid w:val="004D7607"/>
    <w:rsid w:val="004E23BA"/>
    <w:rsid w:val="004E34A3"/>
    <w:rsid w:val="004F044C"/>
    <w:rsid w:val="005004C7"/>
    <w:rsid w:val="00503C56"/>
    <w:rsid w:val="0051131E"/>
    <w:rsid w:val="00513C2B"/>
    <w:rsid w:val="00522536"/>
    <w:rsid w:val="0052798C"/>
    <w:rsid w:val="005374CC"/>
    <w:rsid w:val="00537DBE"/>
    <w:rsid w:val="00543B6F"/>
    <w:rsid w:val="005477BA"/>
    <w:rsid w:val="00552920"/>
    <w:rsid w:val="005563A4"/>
    <w:rsid w:val="00557F20"/>
    <w:rsid w:val="00561F40"/>
    <w:rsid w:val="005632B4"/>
    <w:rsid w:val="00572EC5"/>
    <w:rsid w:val="00574015"/>
    <w:rsid w:val="00582036"/>
    <w:rsid w:val="00586115"/>
    <w:rsid w:val="005876B6"/>
    <w:rsid w:val="0059348A"/>
    <w:rsid w:val="00594DD8"/>
    <w:rsid w:val="00597B4F"/>
    <w:rsid w:val="005A3802"/>
    <w:rsid w:val="005A5085"/>
    <w:rsid w:val="005A5BBB"/>
    <w:rsid w:val="005A661B"/>
    <w:rsid w:val="005B1AFF"/>
    <w:rsid w:val="005B6218"/>
    <w:rsid w:val="005C23C3"/>
    <w:rsid w:val="005C26AD"/>
    <w:rsid w:val="005C61DE"/>
    <w:rsid w:val="005C77A5"/>
    <w:rsid w:val="005D365F"/>
    <w:rsid w:val="005D4E3B"/>
    <w:rsid w:val="005D6158"/>
    <w:rsid w:val="005D6373"/>
    <w:rsid w:val="005D73BE"/>
    <w:rsid w:val="005D7A92"/>
    <w:rsid w:val="005E15AB"/>
    <w:rsid w:val="005E2EA4"/>
    <w:rsid w:val="005E51AF"/>
    <w:rsid w:val="005E609C"/>
    <w:rsid w:val="005F1BC0"/>
    <w:rsid w:val="005F4DBD"/>
    <w:rsid w:val="00610837"/>
    <w:rsid w:val="006144A1"/>
    <w:rsid w:val="00622FF6"/>
    <w:rsid w:val="00623D8D"/>
    <w:rsid w:val="0062453D"/>
    <w:rsid w:val="00624E9B"/>
    <w:rsid w:val="006250F8"/>
    <w:rsid w:val="00635C71"/>
    <w:rsid w:val="00636514"/>
    <w:rsid w:val="00641EEC"/>
    <w:rsid w:val="006431F2"/>
    <w:rsid w:val="00644400"/>
    <w:rsid w:val="006452E4"/>
    <w:rsid w:val="0064657C"/>
    <w:rsid w:val="00647833"/>
    <w:rsid w:val="0065187C"/>
    <w:rsid w:val="00653A17"/>
    <w:rsid w:val="00656F53"/>
    <w:rsid w:val="0066295B"/>
    <w:rsid w:val="006711B9"/>
    <w:rsid w:val="00671B20"/>
    <w:rsid w:val="0067240E"/>
    <w:rsid w:val="006753B4"/>
    <w:rsid w:val="00676F16"/>
    <w:rsid w:val="00682085"/>
    <w:rsid w:val="0068410F"/>
    <w:rsid w:val="00685764"/>
    <w:rsid w:val="006925A9"/>
    <w:rsid w:val="00693B68"/>
    <w:rsid w:val="00696562"/>
    <w:rsid w:val="00697A46"/>
    <w:rsid w:val="006A155C"/>
    <w:rsid w:val="006A3890"/>
    <w:rsid w:val="006B0AD6"/>
    <w:rsid w:val="006B30B9"/>
    <w:rsid w:val="006C7EE2"/>
    <w:rsid w:val="006D7147"/>
    <w:rsid w:val="006E366F"/>
    <w:rsid w:val="006E587B"/>
    <w:rsid w:val="006F1CE9"/>
    <w:rsid w:val="006F27B4"/>
    <w:rsid w:val="006F4B48"/>
    <w:rsid w:val="006F620F"/>
    <w:rsid w:val="00700B91"/>
    <w:rsid w:val="0070515A"/>
    <w:rsid w:val="0070563A"/>
    <w:rsid w:val="00710E21"/>
    <w:rsid w:val="00712994"/>
    <w:rsid w:val="00724100"/>
    <w:rsid w:val="00724AC3"/>
    <w:rsid w:val="00724F7D"/>
    <w:rsid w:val="00733FA5"/>
    <w:rsid w:val="00735882"/>
    <w:rsid w:val="00736254"/>
    <w:rsid w:val="00736873"/>
    <w:rsid w:val="007405B4"/>
    <w:rsid w:val="00741472"/>
    <w:rsid w:val="00744582"/>
    <w:rsid w:val="00744AD6"/>
    <w:rsid w:val="00747ECF"/>
    <w:rsid w:val="00754B68"/>
    <w:rsid w:val="00755B0B"/>
    <w:rsid w:val="00757412"/>
    <w:rsid w:val="0076193A"/>
    <w:rsid w:val="00761F29"/>
    <w:rsid w:val="00764DE5"/>
    <w:rsid w:val="00765C3A"/>
    <w:rsid w:val="0077430C"/>
    <w:rsid w:val="00777658"/>
    <w:rsid w:val="00782664"/>
    <w:rsid w:val="007828C3"/>
    <w:rsid w:val="007838E0"/>
    <w:rsid w:val="00790FB8"/>
    <w:rsid w:val="00793891"/>
    <w:rsid w:val="007A0022"/>
    <w:rsid w:val="007A16B7"/>
    <w:rsid w:val="007A3D19"/>
    <w:rsid w:val="007A58F2"/>
    <w:rsid w:val="007A6480"/>
    <w:rsid w:val="007A7095"/>
    <w:rsid w:val="007D17B2"/>
    <w:rsid w:val="007D2C44"/>
    <w:rsid w:val="007D5EE1"/>
    <w:rsid w:val="007E100B"/>
    <w:rsid w:val="007E58FD"/>
    <w:rsid w:val="007F72E4"/>
    <w:rsid w:val="007F7C47"/>
    <w:rsid w:val="008030FB"/>
    <w:rsid w:val="00803367"/>
    <w:rsid w:val="00825F8D"/>
    <w:rsid w:val="00827F14"/>
    <w:rsid w:val="00830DF8"/>
    <w:rsid w:val="00832DF1"/>
    <w:rsid w:val="00835196"/>
    <w:rsid w:val="00835F0A"/>
    <w:rsid w:val="008432BE"/>
    <w:rsid w:val="008438F0"/>
    <w:rsid w:val="00844E50"/>
    <w:rsid w:val="00845F9D"/>
    <w:rsid w:val="008473D0"/>
    <w:rsid w:val="00851A82"/>
    <w:rsid w:val="00853174"/>
    <w:rsid w:val="00853350"/>
    <w:rsid w:val="0085493E"/>
    <w:rsid w:val="00861989"/>
    <w:rsid w:val="00867A31"/>
    <w:rsid w:val="0087245B"/>
    <w:rsid w:val="00882246"/>
    <w:rsid w:val="00882A8F"/>
    <w:rsid w:val="00883BC9"/>
    <w:rsid w:val="00884DD3"/>
    <w:rsid w:val="00892B8E"/>
    <w:rsid w:val="008A29C3"/>
    <w:rsid w:val="008B0433"/>
    <w:rsid w:val="008B4155"/>
    <w:rsid w:val="008B43E9"/>
    <w:rsid w:val="008B575C"/>
    <w:rsid w:val="008B7D7B"/>
    <w:rsid w:val="008C045D"/>
    <w:rsid w:val="008C1585"/>
    <w:rsid w:val="008C4509"/>
    <w:rsid w:val="008C458B"/>
    <w:rsid w:val="008C5A8C"/>
    <w:rsid w:val="008D051C"/>
    <w:rsid w:val="008D1B5B"/>
    <w:rsid w:val="008D5404"/>
    <w:rsid w:val="008D6F5C"/>
    <w:rsid w:val="008E006D"/>
    <w:rsid w:val="008E485D"/>
    <w:rsid w:val="008F168A"/>
    <w:rsid w:val="008F2D70"/>
    <w:rsid w:val="008F4FC9"/>
    <w:rsid w:val="008F537A"/>
    <w:rsid w:val="008F59E3"/>
    <w:rsid w:val="008F7008"/>
    <w:rsid w:val="009130D0"/>
    <w:rsid w:val="00913120"/>
    <w:rsid w:val="009157EF"/>
    <w:rsid w:val="00915B21"/>
    <w:rsid w:val="00920288"/>
    <w:rsid w:val="0092179E"/>
    <w:rsid w:val="00923852"/>
    <w:rsid w:val="009360F5"/>
    <w:rsid w:val="009362BF"/>
    <w:rsid w:val="0094337D"/>
    <w:rsid w:val="00950BD4"/>
    <w:rsid w:val="00953DA2"/>
    <w:rsid w:val="0095787C"/>
    <w:rsid w:val="00962850"/>
    <w:rsid w:val="0096409C"/>
    <w:rsid w:val="00964CDD"/>
    <w:rsid w:val="00974CB9"/>
    <w:rsid w:val="00975E7D"/>
    <w:rsid w:val="00986FDE"/>
    <w:rsid w:val="00987A09"/>
    <w:rsid w:val="00993444"/>
    <w:rsid w:val="009941BF"/>
    <w:rsid w:val="0099445E"/>
    <w:rsid w:val="00994DAE"/>
    <w:rsid w:val="009A30F9"/>
    <w:rsid w:val="009A4F1F"/>
    <w:rsid w:val="009B19C1"/>
    <w:rsid w:val="009B2A6D"/>
    <w:rsid w:val="009B4D30"/>
    <w:rsid w:val="009C1188"/>
    <w:rsid w:val="009C1D21"/>
    <w:rsid w:val="009C4FA0"/>
    <w:rsid w:val="009C57E0"/>
    <w:rsid w:val="009C7FBE"/>
    <w:rsid w:val="009D6655"/>
    <w:rsid w:val="009D6774"/>
    <w:rsid w:val="009D71F2"/>
    <w:rsid w:val="009E52D9"/>
    <w:rsid w:val="009F3F44"/>
    <w:rsid w:val="00A01521"/>
    <w:rsid w:val="00A125D4"/>
    <w:rsid w:val="00A16790"/>
    <w:rsid w:val="00A32152"/>
    <w:rsid w:val="00A3299D"/>
    <w:rsid w:val="00A418DF"/>
    <w:rsid w:val="00A45728"/>
    <w:rsid w:val="00A463DC"/>
    <w:rsid w:val="00A47137"/>
    <w:rsid w:val="00A53807"/>
    <w:rsid w:val="00A56EAA"/>
    <w:rsid w:val="00A71444"/>
    <w:rsid w:val="00A774A4"/>
    <w:rsid w:val="00A80EC9"/>
    <w:rsid w:val="00A84199"/>
    <w:rsid w:val="00A84D20"/>
    <w:rsid w:val="00A855E8"/>
    <w:rsid w:val="00A85C1D"/>
    <w:rsid w:val="00A942FF"/>
    <w:rsid w:val="00A94FF1"/>
    <w:rsid w:val="00A97889"/>
    <w:rsid w:val="00AA0A7B"/>
    <w:rsid w:val="00AA223F"/>
    <w:rsid w:val="00AA7754"/>
    <w:rsid w:val="00AB4A1B"/>
    <w:rsid w:val="00AC0E97"/>
    <w:rsid w:val="00AC2AD1"/>
    <w:rsid w:val="00AC3BEC"/>
    <w:rsid w:val="00AC6475"/>
    <w:rsid w:val="00AC71D3"/>
    <w:rsid w:val="00AD4552"/>
    <w:rsid w:val="00AF1809"/>
    <w:rsid w:val="00AF3F8C"/>
    <w:rsid w:val="00B011FC"/>
    <w:rsid w:val="00B02764"/>
    <w:rsid w:val="00B040FF"/>
    <w:rsid w:val="00B07598"/>
    <w:rsid w:val="00B10FC9"/>
    <w:rsid w:val="00B118AF"/>
    <w:rsid w:val="00B12D14"/>
    <w:rsid w:val="00B13005"/>
    <w:rsid w:val="00B13A3D"/>
    <w:rsid w:val="00B20684"/>
    <w:rsid w:val="00B216B8"/>
    <w:rsid w:val="00B318F8"/>
    <w:rsid w:val="00B32236"/>
    <w:rsid w:val="00B405F8"/>
    <w:rsid w:val="00B40AB2"/>
    <w:rsid w:val="00B45D8D"/>
    <w:rsid w:val="00B46ABD"/>
    <w:rsid w:val="00B54560"/>
    <w:rsid w:val="00B54C00"/>
    <w:rsid w:val="00B629EF"/>
    <w:rsid w:val="00B64DA1"/>
    <w:rsid w:val="00B663B8"/>
    <w:rsid w:val="00B66481"/>
    <w:rsid w:val="00B7171E"/>
    <w:rsid w:val="00B730C5"/>
    <w:rsid w:val="00B7345E"/>
    <w:rsid w:val="00B809BD"/>
    <w:rsid w:val="00B8293E"/>
    <w:rsid w:val="00B838A7"/>
    <w:rsid w:val="00B91023"/>
    <w:rsid w:val="00BA2358"/>
    <w:rsid w:val="00BA253B"/>
    <w:rsid w:val="00BA48C5"/>
    <w:rsid w:val="00BA4AF2"/>
    <w:rsid w:val="00BA5322"/>
    <w:rsid w:val="00BA7A1B"/>
    <w:rsid w:val="00BA7A51"/>
    <w:rsid w:val="00BB19DC"/>
    <w:rsid w:val="00BB402E"/>
    <w:rsid w:val="00BB58C3"/>
    <w:rsid w:val="00BB624F"/>
    <w:rsid w:val="00BB76B4"/>
    <w:rsid w:val="00BB7E71"/>
    <w:rsid w:val="00BC0847"/>
    <w:rsid w:val="00BC0EC3"/>
    <w:rsid w:val="00BC4B8E"/>
    <w:rsid w:val="00BC6A85"/>
    <w:rsid w:val="00BD7F21"/>
    <w:rsid w:val="00BF2741"/>
    <w:rsid w:val="00BF33F5"/>
    <w:rsid w:val="00C041BE"/>
    <w:rsid w:val="00C11892"/>
    <w:rsid w:val="00C11A77"/>
    <w:rsid w:val="00C15E6B"/>
    <w:rsid w:val="00C205E8"/>
    <w:rsid w:val="00C324D8"/>
    <w:rsid w:val="00C37B2B"/>
    <w:rsid w:val="00C41C1C"/>
    <w:rsid w:val="00C44558"/>
    <w:rsid w:val="00C44935"/>
    <w:rsid w:val="00C474CA"/>
    <w:rsid w:val="00C5016A"/>
    <w:rsid w:val="00C578BD"/>
    <w:rsid w:val="00C60EC4"/>
    <w:rsid w:val="00C65FC9"/>
    <w:rsid w:val="00C6797C"/>
    <w:rsid w:val="00C737B6"/>
    <w:rsid w:val="00C74FA7"/>
    <w:rsid w:val="00C76670"/>
    <w:rsid w:val="00C776F2"/>
    <w:rsid w:val="00C860A1"/>
    <w:rsid w:val="00C870C1"/>
    <w:rsid w:val="00C92A30"/>
    <w:rsid w:val="00C932CF"/>
    <w:rsid w:val="00C936F9"/>
    <w:rsid w:val="00C93962"/>
    <w:rsid w:val="00C94847"/>
    <w:rsid w:val="00C948D1"/>
    <w:rsid w:val="00C95532"/>
    <w:rsid w:val="00CA6C1D"/>
    <w:rsid w:val="00CB24D9"/>
    <w:rsid w:val="00CB68B4"/>
    <w:rsid w:val="00CC220F"/>
    <w:rsid w:val="00CC3EBA"/>
    <w:rsid w:val="00CD1F14"/>
    <w:rsid w:val="00CD350C"/>
    <w:rsid w:val="00CD4854"/>
    <w:rsid w:val="00CD5A2C"/>
    <w:rsid w:val="00CD743E"/>
    <w:rsid w:val="00CF0474"/>
    <w:rsid w:val="00CF22DC"/>
    <w:rsid w:val="00D010B5"/>
    <w:rsid w:val="00D02598"/>
    <w:rsid w:val="00D07F64"/>
    <w:rsid w:val="00D105F7"/>
    <w:rsid w:val="00D1261D"/>
    <w:rsid w:val="00D12AF2"/>
    <w:rsid w:val="00D16ACB"/>
    <w:rsid w:val="00D1760A"/>
    <w:rsid w:val="00D177D8"/>
    <w:rsid w:val="00D23A77"/>
    <w:rsid w:val="00D321C4"/>
    <w:rsid w:val="00D32A91"/>
    <w:rsid w:val="00D3467E"/>
    <w:rsid w:val="00D3702F"/>
    <w:rsid w:val="00D40276"/>
    <w:rsid w:val="00D4094A"/>
    <w:rsid w:val="00D42817"/>
    <w:rsid w:val="00D476AF"/>
    <w:rsid w:val="00D52F34"/>
    <w:rsid w:val="00D54477"/>
    <w:rsid w:val="00D54E69"/>
    <w:rsid w:val="00D63FBA"/>
    <w:rsid w:val="00D6501F"/>
    <w:rsid w:val="00D658CB"/>
    <w:rsid w:val="00D65B60"/>
    <w:rsid w:val="00D67518"/>
    <w:rsid w:val="00D823AA"/>
    <w:rsid w:val="00D82AA2"/>
    <w:rsid w:val="00D840F9"/>
    <w:rsid w:val="00D90145"/>
    <w:rsid w:val="00D90770"/>
    <w:rsid w:val="00D937CF"/>
    <w:rsid w:val="00D93E7F"/>
    <w:rsid w:val="00D97AC7"/>
    <w:rsid w:val="00DA4C9B"/>
    <w:rsid w:val="00DA5D84"/>
    <w:rsid w:val="00DA6D43"/>
    <w:rsid w:val="00DB1946"/>
    <w:rsid w:val="00DB2175"/>
    <w:rsid w:val="00DB536C"/>
    <w:rsid w:val="00DB6053"/>
    <w:rsid w:val="00DB6A98"/>
    <w:rsid w:val="00DB6BDC"/>
    <w:rsid w:val="00DC089C"/>
    <w:rsid w:val="00DC0E95"/>
    <w:rsid w:val="00DC2F5A"/>
    <w:rsid w:val="00DD086D"/>
    <w:rsid w:val="00DD1715"/>
    <w:rsid w:val="00DE091C"/>
    <w:rsid w:val="00DE1ABB"/>
    <w:rsid w:val="00DE58D2"/>
    <w:rsid w:val="00DE6CB5"/>
    <w:rsid w:val="00DF3079"/>
    <w:rsid w:val="00DF5370"/>
    <w:rsid w:val="00DF6207"/>
    <w:rsid w:val="00E02185"/>
    <w:rsid w:val="00E03EED"/>
    <w:rsid w:val="00E0449D"/>
    <w:rsid w:val="00E1336C"/>
    <w:rsid w:val="00E162DB"/>
    <w:rsid w:val="00E17143"/>
    <w:rsid w:val="00E17B82"/>
    <w:rsid w:val="00E2387F"/>
    <w:rsid w:val="00E304BC"/>
    <w:rsid w:val="00E32ED0"/>
    <w:rsid w:val="00E35E3C"/>
    <w:rsid w:val="00E372CD"/>
    <w:rsid w:val="00E37FE2"/>
    <w:rsid w:val="00E442D4"/>
    <w:rsid w:val="00E46E27"/>
    <w:rsid w:val="00E477A0"/>
    <w:rsid w:val="00E5023D"/>
    <w:rsid w:val="00E52C9E"/>
    <w:rsid w:val="00E568E2"/>
    <w:rsid w:val="00E71980"/>
    <w:rsid w:val="00E73608"/>
    <w:rsid w:val="00E7631F"/>
    <w:rsid w:val="00E778E8"/>
    <w:rsid w:val="00E840B0"/>
    <w:rsid w:val="00E8474E"/>
    <w:rsid w:val="00E86602"/>
    <w:rsid w:val="00E872DF"/>
    <w:rsid w:val="00E90EA2"/>
    <w:rsid w:val="00E93442"/>
    <w:rsid w:val="00E93972"/>
    <w:rsid w:val="00EA0006"/>
    <w:rsid w:val="00EA3AE0"/>
    <w:rsid w:val="00EA5A3B"/>
    <w:rsid w:val="00EC2602"/>
    <w:rsid w:val="00ED26F6"/>
    <w:rsid w:val="00ED6B8D"/>
    <w:rsid w:val="00EE2B1C"/>
    <w:rsid w:val="00EE2F17"/>
    <w:rsid w:val="00EF3A41"/>
    <w:rsid w:val="00EF4CDC"/>
    <w:rsid w:val="00EF6D80"/>
    <w:rsid w:val="00EF7643"/>
    <w:rsid w:val="00F0079A"/>
    <w:rsid w:val="00F00ADE"/>
    <w:rsid w:val="00F02000"/>
    <w:rsid w:val="00F074CE"/>
    <w:rsid w:val="00F10284"/>
    <w:rsid w:val="00F111D3"/>
    <w:rsid w:val="00F13B1D"/>
    <w:rsid w:val="00F1560A"/>
    <w:rsid w:val="00F16295"/>
    <w:rsid w:val="00F214B6"/>
    <w:rsid w:val="00F2193F"/>
    <w:rsid w:val="00F24882"/>
    <w:rsid w:val="00F25440"/>
    <w:rsid w:val="00F263DE"/>
    <w:rsid w:val="00F274A2"/>
    <w:rsid w:val="00F300FC"/>
    <w:rsid w:val="00F31DB8"/>
    <w:rsid w:val="00F334E7"/>
    <w:rsid w:val="00F33B65"/>
    <w:rsid w:val="00F33E04"/>
    <w:rsid w:val="00F3462B"/>
    <w:rsid w:val="00F40FA6"/>
    <w:rsid w:val="00F47E1A"/>
    <w:rsid w:val="00F56488"/>
    <w:rsid w:val="00F577FA"/>
    <w:rsid w:val="00F62388"/>
    <w:rsid w:val="00F64EA6"/>
    <w:rsid w:val="00F659F7"/>
    <w:rsid w:val="00F65D17"/>
    <w:rsid w:val="00F7522F"/>
    <w:rsid w:val="00F752FE"/>
    <w:rsid w:val="00F808E1"/>
    <w:rsid w:val="00F818FB"/>
    <w:rsid w:val="00F824D8"/>
    <w:rsid w:val="00F83878"/>
    <w:rsid w:val="00F838F9"/>
    <w:rsid w:val="00F84CEB"/>
    <w:rsid w:val="00F870BC"/>
    <w:rsid w:val="00FA63BC"/>
    <w:rsid w:val="00FA6A67"/>
    <w:rsid w:val="00FB3A83"/>
    <w:rsid w:val="00FB4935"/>
    <w:rsid w:val="00FC3FC2"/>
    <w:rsid w:val="00FD029E"/>
    <w:rsid w:val="00FD41E4"/>
    <w:rsid w:val="00FD563C"/>
    <w:rsid w:val="00FD7BA7"/>
    <w:rsid w:val="00FE051B"/>
    <w:rsid w:val="00FE118F"/>
    <w:rsid w:val="00FE1285"/>
    <w:rsid w:val="00FF3273"/>
    <w:rsid w:val="00FF4470"/>
    <w:rsid w:val="00FF4935"/>
    <w:rsid w:val="00FF4D1C"/>
    <w:rsid w:val="00FF6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C5FA"/>
  <w15:chartTrackingRefBased/>
  <w15:docId w15:val="{3838D2AA-0BAB-4856-8D6F-45CC1A6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A67"/>
    <w:rPr>
      <w:rFonts w:eastAsiaTheme="majorEastAsia" w:cstheme="majorBidi"/>
      <w:color w:val="272727" w:themeColor="text1" w:themeTint="D8"/>
    </w:rPr>
  </w:style>
  <w:style w:type="paragraph" w:styleId="Title">
    <w:name w:val="Title"/>
    <w:basedOn w:val="Normal"/>
    <w:next w:val="Normal"/>
    <w:link w:val="TitleChar"/>
    <w:uiPriority w:val="10"/>
    <w:qFormat/>
    <w:rsid w:val="00396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A67"/>
    <w:pPr>
      <w:spacing w:before="160"/>
      <w:jc w:val="center"/>
    </w:pPr>
    <w:rPr>
      <w:i/>
      <w:iCs/>
      <w:color w:val="404040" w:themeColor="text1" w:themeTint="BF"/>
    </w:rPr>
  </w:style>
  <w:style w:type="character" w:customStyle="1" w:styleId="QuoteChar">
    <w:name w:val="Quote Char"/>
    <w:basedOn w:val="DefaultParagraphFont"/>
    <w:link w:val="Quote"/>
    <w:uiPriority w:val="29"/>
    <w:rsid w:val="00396A67"/>
    <w:rPr>
      <w:i/>
      <w:iCs/>
      <w:color w:val="404040" w:themeColor="text1" w:themeTint="BF"/>
    </w:rPr>
  </w:style>
  <w:style w:type="paragraph" w:styleId="ListParagraph">
    <w:name w:val="List Paragraph"/>
    <w:basedOn w:val="Normal"/>
    <w:uiPriority w:val="34"/>
    <w:qFormat/>
    <w:rsid w:val="00396A67"/>
    <w:pPr>
      <w:ind w:left="720"/>
      <w:contextualSpacing/>
    </w:pPr>
  </w:style>
  <w:style w:type="character" w:styleId="IntenseEmphasis">
    <w:name w:val="Intense Emphasis"/>
    <w:basedOn w:val="DefaultParagraphFont"/>
    <w:uiPriority w:val="21"/>
    <w:qFormat/>
    <w:rsid w:val="00396A67"/>
    <w:rPr>
      <w:i/>
      <w:iCs/>
      <w:color w:val="0F4761" w:themeColor="accent1" w:themeShade="BF"/>
    </w:rPr>
  </w:style>
  <w:style w:type="paragraph" w:styleId="IntenseQuote">
    <w:name w:val="Intense Quote"/>
    <w:basedOn w:val="Normal"/>
    <w:next w:val="Normal"/>
    <w:link w:val="IntenseQuoteChar"/>
    <w:uiPriority w:val="30"/>
    <w:qFormat/>
    <w:rsid w:val="00396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A67"/>
    <w:rPr>
      <w:i/>
      <w:iCs/>
      <w:color w:val="0F4761" w:themeColor="accent1" w:themeShade="BF"/>
    </w:rPr>
  </w:style>
  <w:style w:type="character" w:styleId="IntenseReference">
    <w:name w:val="Intense Reference"/>
    <w:basedOn w:val="DefaultParagraphFont"/>
    <w:uiPriority w:val="32"/>
    <w:qFormat/>
    <w:rsid w:val="00396A67"/>
    <w:rPr>
      <w:b/>
      <w:bCs/>
      <w:smallCaps/>
      <w:color w:val="0F4761" w:themeColor="accent1" w:themeShade="BF"/>
      <w:spacing w:val="5"/>
    </w:rPr>
  </w:style>
  <w:style w:type="paragraph" w:styleId="FootnoteText">
    <w:name w:val="footnote text"/>
    <w:basedOn w:val="Normal"/>
    <w:link w:val="FootnoteTextChar"/>
    <w:uiPriority w:val="99"/>
    <w:semiHidden/>
    <w:unhideWhenUsed/>
    <w:rsid w:val="00936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2BF"/>
    <w:rPr>
      <w:sz w:val="20"/>
      <w:szCs w:val="20"/>
    </w:rPr>
  </w:style>
  <w:style w:type="character" w:styleId="FootnoteReference">
    <w:name w:val="footnote reference"/>
    <w:basedOn w:val="DefaultParagraphFont"/>
    <w:uiPriority w:val="99"/>
    <w:semiHidden/>
    <w:unhideWhenUsed/>
    <w:rsid w:val="009362BF"/>
    <w:rPr>
      <w:vertAlign w:val="superscript"/>
    </w:rPr>
  </w:style>
  <w:style w:type="paragraph" w:styleId="Header">
    <w:name w:val="header"/>
    <w:basedOn w:val="Normal"/>
    <w:link w:val="HeaderChar"/>
    <w:uiPriority w:val="99"/>
    <w:unhideWhenUsed/>
    <w:rsid w:val="0001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2DB"/>
  </w:style>
  <w:style w:type="paragraph" w:styleId="Footer">
    <w:name w:val="footer"/>
    <w:basedOn w:val="Normal"/>
    <w:link w:val="FooterChar"/>
    <w:uiPriority w:val="99"/>
    <w:unhideWhenUsed/>
    <w:rsid w:val="0001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030C-F5CE-4147-AFD2-CDFB106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Reyk</dc:creator>
  <cp:keywords/>
  <dc:description/>
  <cp:lastModifiedBy>Paul Van Reyk</cp:lastModifiedBy>
  <cp:revision>697</cp:revision>
  <dcterms:created xsi:type="dcterms:W3CDTF">2025-06-13T06:03:00Z</dcterms:created>
  <dcterms:modified xsi:type="dcterms:W3CDTF">2025-06-18T05:31:00Z</dcterms:modified>
</cp:coreProperties>
</file>